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349 vom 20. Mai 2020</w:t>
      </w:r>
    </w:p>
    <w:p>
      <w:r>
        <w:t>VD Tribunal cantonal, 2020-05-20, FR</w:t>
      </w:r>
    </w:p>
    <w:p>
      <w:r>
        <w:rPr>
          <w:b/>
        </w:rPr>
        <w:t xml:space="preserve">Quelle: </w:t>
      </w:r>
      <w:r>
        <w:t>https://mcp.opencaselaw.ch/entscheid/vd_findinfo_HC___2020___349</w:t>
      </w:r>
    </w:p>
    <w:p>
      <w:r>
        <w:t>FR: VD_FINDINFO HC / 2020 / 349 du 20 mai 2020</w:t>
      </w:r>
    </w:p>
    <w:p>
      <w:r>
        <w:t>IT: VD_FINDINFO HC / 2020 / 349 del 20 maggio 2020</w:t>
      </w:r>
    </w:p>
    <w:p>
      <w:pPr>
        <w:pStyle w:val="Heading2"/>
      </w:pPr>
      <w:r>
        <w:t>Regeste</w:t>
      </w:r>
    </w:p>
    <w:p>
      <w:r>
        <w:t>ATTRIBUTION DE L'EFFET SUSPENSIF, EFFET SUSPENSIF, DÉMÉNAGEMENT, DROIT DE GARDE | 301a al. 2 let. a CC, 301a CC, 315 al. 4 CPC (CH), 315 al. 4 let. b CPC (CH), 315 al. 5 CPC (CH)</w:t>
      </w:r>
    </w:p>
    <w:p>
      <w:pPr>
        <w:pStyle w:val="Heading2"/>
      </w:pPr>
      <w:r>
        <w:t>Volltext</w:t>
      </w:r>
    </w:p>
    <w:p>
      <w:r>
        <w:t>Vaud Tribunal cantonal Cour d'appel civile HC / 2020 / 349</w:t>
      </w:r>
    </w:p>
    <w:p>
      <w:r>
        <w:t>ATTRIBUTION DE L'EFFET SUSPENSIF, EFFET SUSPENSIF, DÉMÉNAGEMENT, DROIT DE GARDE | 301a al. 2 let. a CC, 301a CC, 315 al. 4 CPC (CH), 315 al. 4 let. b CPC (CH), 315 al. 5 CPC (CH)</w:t>
      </w:r>
    </w:p>
    <w:p>
      <w:r>
        <w:t>TRIBUNAL CANTONAL TD15.037306-200671 cour d’appel CIVILE ____________________________ Ordonnance du 20 mai 2020 ________________________________ Composition :               M. Stoudmann , juge délégué Greffier :              M. Clerc ***** Art. 301a al. 2 CC ; 315 al. 4 let. b et al. 5 CPC Statuant sur la requête présentée par A.W.________ , à Féchy, tendant à l’octroi de l’effet suspensif à l’appel qu’il a interjeté contre l’ordonnance de mesures provisionnelles rendue le 14 mai 2020 par le Président du Tribunal civil de l’arrondissement de l’Est vaudois dans la cause le divisant d’avec B.W.________ , à Nyon, le Juge délégué de la Cour d’appel civile du Tribunal cantonal considère : En fait et en droit : 1. A.W.________, né le [...] 1971, et B.W.________, née [...] le [...] 1977, tous deux ressortissants suisses, se sont mariés le [...] 2004 devant l’Officier de l’état civil de [...]. Trois enfants sont issus de cette union : - P.________, née le [...] 2005, - G.________, née le [...] 2007, et - M.________, né le [...] 2011. 2. Rencontrant d’importantes difficultés conjugales, les parties vivent séparément depuis le 31 juillet 2013 ; leur séparation a été réglée par plusieurs décisions de mesures provisionnelles. Le 26 juillet 2013, A.W.________ a ouvert action en divorce par le dépôt d’une demande unilatérale devant le Tribunal civil de l’arrondissement de La Côte. Par ordonnance de mesures provisionnelles du 7 juillet 2014, la garde sur les enfants du couple a été attribuée à B.W.________, laquelle a été autorisée à s’installer en Australie avec eux. En octobre 2014, celle-ci a déménagé en Australie en compagnie des trois enfants. Le 15 mars 2018, B.W.________ est revenue s’installer en Suisse avec les enfants du couple afin de soutenir et d’accompagner sa mère mourante. 3. Par requête de mesures provisionnelles du 20 décembre 2019, B.W.________ a conclu notamment à être autorisée à modifier le lieu de résidence des enfants du couple de Suisse en Australie et à y déménager le 31 janvier 2020, les modalités du droit de visite de A.W.________ sur ses enfants restant à préciser. A une audience du 6 janvier 2020, A.W.________ a conclu en particulier, par voie de mesures provisionnelles, à ce que le lieu de résidence des enfants du couple reste fixé au domicile de leur mère à Nyon et, si celle-ci décidait de retourner vivre en Australie, que le lieu de résidence des enfants soit fixé au domicile du père, qui en aurait la garde de fait. Il a conclu en outre à bénéficier d’un droit de visite sur ses enfants G.________ et M.________ à raison d’un mercredi par mois, d’un week-end sur deux du vendredi après l’école au lundi à la reprise de l’école et durant la moitié des vacances scolaires, l’exercice du droit de visite sur l’enfant P.________ devant être suspendu et réévalué en fonction de l’évolution de la thérapie familiale systémique entreprise. 4. Par ordonnance de mesures provisionnelles du 14 mai 2020, le Président du Tribunal civil de l’arrondissement de l’Est vaudois (ci-après : le président ou le premier juge) a notamment confirmé l’attribution de la garde de fait et du droit de déterminer le lieu de séjour des enfants à leur mère (III), a autorisé celle-ci a déplacer le lieu de résidence des enfants auprès d’elle dans la région de Sydney, en Australie, dès notification de ladite ordonnance (IV), a fixé les modalités du droit de visite de A.W.________ sur ses enfants, soit, à défaut d’entente, la moitié des vacances scolaires et une fois par semaine par vidéoconférence (V), a exhorté B.W.________ à favoriser les relations personnelles entre les enfants et leur père (VI), a ordonné la mise en œuvre d’une thérapie coparentale auprès d’un cabinet spécialisé à Sydney (VII) et la mise en œuvre d’une thérapie familiale systémique auprès d’un cabinet spécialisé à Sydney (VIII). Le premier juge a retenu en substance que B.W.________ s’était toujours occupée des enfants du couple, que ses capacités éducatives n’avaient pas été contestées mais avaient été confirmées par expertise, qu’elle était davantage disponible pour eux que leur père et qu’elle avait d’ores et déjà pris les mesures nécessaires à leur retour en Australie. Le président a relevé que les enfants avaient répété vouloir retourner en Australie et avoir du mal à s’intégrer en Suisse, où ils ont déclaré être malheureux, ce qui avait été également constaté par les experts mandatés dans le cadre de la procédure. 5. Par acte du 15 mai 2020, A.W.________ (ci-après : le requérant) a interjeté appel contre le prononcé susmentionné en concluant, avec suite de frais et dépens, en particulier à sa réforme en ce sens que le lieu de résidence des enfants reste fixé au domicile de leur mère à Nyon, et, si celle-ci décidait de retourner vivre en Australie, que le lieu de résidence des enfants soit fixé au domicile du père, qui en aurait la garde de fait. Il a en outre sollicité l’octroi de l’effet suspensif à son appel. Par déterminations du 18 mai 2020, B.W.________ (ci-après : l’intimée) a conclu au rejet de la requête d’effet suspensif. Par courrier du 19 mai 2020, le requérant a confirmé sa requête d’effet suspensif. Le 20 mai 2020, l’intimée a déposé des déterminations ainsi que des pièces complémentaires. 6. Selon l’art. 315 al. 4 CPC (Code de procédure civile du 19 décembre 2008 ; RS 272), l’appel n’a pas d’effet suspensif lorsqu’il a pour objet des décisions portant sur le droit de réponse ou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 Conformément à l’art. 325 al. 2 CPC, l’instance de recours « ordonne au besoin des mesures conservatoires ». Bien que, s’agissant de l’appel, une indication similaire fait défaut à l’art. 315 CPC, l’instance d’appel peut néanmoins ordonner de telles mesures (Stucki/Pahud, Le régime des décisions superprovisionnelles et provisionnelles du Code de procédure civile, SJ 2015 II 1, pp. 29 ss et les réf. cit.). 7. 7.1 Le requérant fait valoir que le déménagement immédiat des enfants en Australie entraînerait la cessation abrupte de tout contact avec ses enfants, qui risquerait de s’éterniser compte tenu de la situation actuelle de pandémie, et le priverait de toute possibilité de contester l’ordonnance entreprise. Il relève en outre que l’urgence du déménagement ne serait pas avérée. 7.2 7.2.1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La décision du juge ou de l'autorité de protection de l'enfant sera prise dans l'intérêt de l'enfant, lequel est protégé par la Constitution (art. 11 Cst.) et constitue la ligne directrice pour l'ensemble des affaires se rapportant aux enfants (TF 5A_274/2016 du 26 août 2016 consid. 6 ; ATF 142 III 481 consid. 2.6, JdT 2016 II 427 ; ATF 141 III 328 consid. 5.4 ; ATF 141 III 312 consid. 4.2.4 ; ATF 129 III 250 consid. 3.4.2).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(TF 5A_375/2008 du 11 août 2008 consid. 2d ; ATF 142 III 481 consid. 2.7,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références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ATF 136 III 353 consid. 3.3). 7.2.2 Confronté à une requête d’effet suspensif dans une affaire impliquant une modification du lieu de résidence de l’enfant, le Tribunal fédéral a estimé qu’en cas de départ à l’étranger du parent qui a la garde de l’enfant, le statu quo doit en règle générale être maintenu afin d’éviter de préjuger la cause, sauf si l’urgence commande le déménagement (ATF 144 III 469 consid. 4.2.2). 7.3 En l’espèce, si l’intimée déménage en Australie avec les enfants du couple mais que le Juge délégué de céans réforme la décision du premier juge quant à l’autorisation de partir à l’étranger, les enfants seraient alors contraints de revenir en Suisse et de subir un deuxième déménagement très contraignant en l’espace de quelques mois. Or, pour le bien-être des enfants et pour éviter le risque de leur imposer des changements trop fréquents dans leurs conditions de vie, il est préférable de repousser un éventuel déménagement à l’étranger le temps d’examiner les griefs soulevés par le requérant dans son appel. A l’inverse, l’arrêt sur appel pourra être rendu rapidement, ce qui exclut tout risque de préjudice pour les enfants du fait du statu quo pendant la procédure d’appel. Par ailleurs, l’intimée n’a pas démontré la nécessité urgente d’un déménagement en Australie, alléguant au contraire en particulier que les enfants avaient de l’avance sur le cursus scolaire australien. Au demeurant, cette solution est conforme à la jurisprudence exposée ci-dessus (cf. consid. 7.2.2 supra) qui prévoit que le statu quo doit prévaloir en cas de départ à l’étranger du parent gardien, aucun motif ne justifiant en l’espèce de s’écarter de ce principe. 8. En définitive, la requête d’effet suspensif doit être admise en ce sens que l’exécution des chiffres IV à VIII – qui ont tous trait au déménagement en Australie – de l’ordonnance de mesures provisionnelles entreprise est suspendue jusqu’à droit connu sur l’appel. Il sera statué sur les frais judiciaires et les dépens dans le cadre de l’arrêt sur appel à intervenir (cf. art. 104 al. 3 CPC). Par ces motifs, le Juge délégué de la Cour d’appel civile, prononce : I. La requête d’effet suspensif est admise en ce sens que l’exécution des chiffres IV à VIII de l’ordonnance de mesures provisionnelles rendue le 14 mai 2020 par le Président du Tribunal civil de l’arrondissement de l’Est vaudois est suspendue jusqu’à droit connu sur l’appel. II. Il sera statué sur les frais judiciaires et les dépens de la présente ordonnance dans le cadre de l’arrêt sur appel à intervenir. Le juge délégué : Le greffier : Du La présente ordonnance, dont la rédaction a été approuvée à huis clos, est notifiée à : ‑ Me Mélanie Freymond (pour A.W.________), ‑ Me Patricia Michellod (pour B.W.________),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