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348 vom 16. Juni 2020</w:t>
      </w:r>
    </w:p>
    <w:p>
      <w:r>
        <w:t>VD Tribunal cantonal, 2020-06-16, FR</w:t>
      </w:r>
    </w:p>
    <w:p>
      <w:r>
        <w:rPr>
          <w:b/>
        </w:rPr>
        <w:t xml:space="preserve">Quelle: </w:t>
      </w:r>
      <w:r>
        <w:t>https://mcp.opencaselaw.ch/entscheid/vd_findinfo_HC___2020___348</w:t>
      </w:r>
    </w:p>
    <w:p>
      <w:r>
        <w:t>FR: VD_FINDINFO HC / 2020 / 348 du 16 juin 2020</w:t>
      </w:r>
    </w:p>
    <w:p>
      <w:r>
        <w:t>IT: VD_FINDINFO HC / 2020 / 348 del 16 giugno 2020</w:t>
      </w:r>
    </w:p>
    <w:p>
      <w:pPr>
        <w:pStyle w:val="Heading2"/>
      </w:pPr>
      <w:r>
        <w:t>Regeste</w:t>
      </w:r>
    </w:p>
    <w:p>
      <w:r>
        <w:t>DROIT DES SUCCESSIONS, LEGS, USUFRUIT, REGISTRE FONCIER, MESURE PROVISIONNELLE, INSCRIPTION, DROIT INTERNATIONAL PRIVÉ, BLOCAGE DU REGISTRE FONCIER, IMMEUBLE, CHOSE MOBILIÈRE | 484 CC, 594 CC, 602 al. 2 CC, 602 al. 3 CC, 961 CC, 10 LDIP, 86 al. 1 LDIP, 90 LDIP, 92 LDIP, 96 al. 1 LDIP, 261 CPC (CH), 263 CPC (CH), 59 al. 1 CPC (CH), 59 al. 2 CPC (CH), 59 al. 2 let. c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(art. 248 let. d CPC), le délai pour l’introduction de l’appel est de dix jours (art. 314 al. 1 CPC).</w:t>
      </w:r>
    </w:p>
    <w:p>
      <w:r>
        <w:rPr>
          <w:b/>
        </w:rPr>
        <w:t>E. 1.2</w:t>
      </w:r>
    </w:p>
    <w:p>
      <w:r>
        <w:t>En l’espèce, formé en temps utile par une partie qui a un intérêt digne de protection (art. 59 al. 2 let. a CPC) et portant sur des conclusions supérieures à 10'000 fr., l’appel, écrit et motivé (art. 311 al. 1 CPC), est recevable en tant qu’il est dirigé contre les intimés A.K.________, B.K.________ et C.K.________. La question de sa recevabilité à l’égard de l’intimé R.________ sera examinée ci-après (cf. infra consid. 4)</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in JdT 2010 III 115,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 citées).</w:t>
      </w:r>
    </w:p>
    <w:p>
      <w:r>
        <w:rPr>
          <w:b/>
        </w:rPr>
        <w:t>E. 2.3</w:t>
      </w:r>
    </w:p>
    <w:p>
      <w:r>
        <w:t>En l’espèce, l’appelante a produit deux pièces nouvelles, à savoir une attestation de l’architecte [...] concernant l’état d’entretien de la villa de [...], datée du 24 octobre 2019, et un récapitulatif des frais acquittés par l’appelante pour cette même villa, pour la période de juillet à novembre 2019. Ces pièces constituent le pendant des pièces n os 11 (récapitulatif des frais payés par S.________ pour la villa de [...] pour les années 2016 à 2018 et les mois de janvier à juin 2019) et 12 (attestations de l’architecte [...] des 19 mars et 3 juin 2019) du bordereau II produit à l’appui du courrier du 8 juillet 2019 que la prénommée a adressé au juge de première instance en lien avec sa requête de mesures provisionnelles du 25 juillet 2018. Par courrier du 19 juillet 2019, ce magistrat a indiqué qu’il statuerait sur toutes les procédures provisionnelles et incidentes pendantes sans autre instruction ou audience, à l’échéance du délai au 23 juillet 2019, imparti au conseil de A.K.________, B.K.________ et C.K.________ pour déposer des déterminations. Dès lors que ces pièces sont postérieures au 23 juillet 2019, elles sont recevables. De leur côté, les intimés A.K.________, B.K.________ et C.K.________ ont produit un bordereau de trois pièces, comprenant, outre deux pièces de forme, une pièce nouvelle, soit un courrier de la Banque Cantonale Vaudoise du 12 novembre 2019 relatif au prêt hypothécaire sur l’immeuble n° [...] de la commune de [...]. Cette pièce nouvelle, qui constitue un vrai nova, est également recevable.</w:t>
      </w:r>
    </w:p>
    <w:p>
      <w:r>
        <w:rPr>
          <w:b/>
        </w:rPr>
        <w:t>E. 3.1</w:t>
      </w:r>
    </w:p>
    <w:p>
      <w:r>
        <w:t>D.K.________ était de nationalité française et avait son domicile à [...] au moment de son décès. La présente cause comporte ainsi des éléments d'extranéité, de sorte qu'il y a lieu d'examiner les questions de la compétence et du droit applicable au regard de la loi fédérale du 18 décembre 1987 sur le droit international privé (ci-après : LDIP ; RS 291). Selon l'art. 86 al. 1 LDIP, les autorités judiciaires ou administratives suisses du dernier domicile du défunt sont compétentes pour prendre les mesures nécessaires au règlement de la succession et connaître des litiges successoraux. Cette disposition vise notamment, de manière générale, toutes les contestations relatives à la liquidation d'une succession, qui peuvent s'élever entre des personnes qui prétendent, à titre héréditaire, à une part de la succession. Une action présente donc un caractère successoral lorsque les parties invoquent un titre héréditaire pour réclamer une part dans une succession et faire constater l'existence et l'étendue de leurs droits ; sont déterminants les motifs sur lesquels se fonde la demande et sur lesquels s'appuie le défendeur pour y résister (ATF 119 II 77 consid. 3a ; Dutoit, Droit international privé suisse, Commentaire de la loi fédérale du 18 décembre 1987,</w:t>
      </w:r>
    </w:p>
    <w:p>
      <w:r>
        <w:rPr>
          <w:b/>
        </w:rPr>
        <w:t>E. 3.2</w:t>
      </w:r>
    </w:p>
    <w:p>
      <w:r>
        <w:t>L'autorité compétente pour statuer sur un litige au fond l'est également pour prendre d'éventuelles mesures provisionnelles (art. 10 LDIP). Les mesures provisoires ordonnées en vertu de l'art. 10 LDIP sont en principe régies par le droit suisse ; toutefois, il faut également se référer à la lex causae pour les aspects relevant du fond (notamment la vraisemblance de la prétention au fond et le choix de la mesure de protection) (Bucher/Bonomi, Droit international privé suisse, 3 e éd. Bâle 2013, n. 190 ; Dutoit, 4 e éd., n. 8 ad art. 10 LDIP).</w:t>
      </w:r>
    </w:p>
    <w:p>
      <w:r>
        <w:rPr>
          <w:b/>
        </w:rPr>
        <w:t>E. 3.3</w:t>
      </w:r>
    </w:p>
    <w:p>
      <w:r>
        <w:t>La succession d'une personne qui avait son dernier domicile en Suisse est régie par le droit suisse (art. 90 al. 1 LDIP). La professio iuris permet toutefois à un ressortissant étranger, domicilié en Suisse à son décès, de soumettre sa succession par testament ou pacte successoral au droit de l’un de ses Etats nationaux (art. 90 al. 2 LDIP). L'art. 92 LDIP régit le droit applicable au statut successoral et à la liquidation. Aux termes de cette disposition légale,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(al. 1) ; l es diverses actions successorales relèvent du statut successoral (Dutoit, op. cit., n. 3 ad art. 92 LDIP). En revanche, les modalités d'exécution de la succession sont régies par le droit de l'État dont l'autorité est compétente ; ce droit régit notamment les mesures conservatoires et la liquidation, y compris l'exécution testamentaire (al. 2). En outre, à teneur de l'art. 96 al. 1 LDIP, les décisions, les mesures ou les documents relatifs à une succession, de même que les droits qui dérivent d'une succession ouverte à l'étranger, sont reconnus en Suisse lorsqu'ils ont été rendus, pris, dressés ou constatés dans l'État du dernier domicile du défunt ou dans l'État au droit duquel le défunt a soumis sa succession ou s'ils sont reconnus dans un de ces États (let. a), ou, lorsqu'ils se rapportent à des immeubles et ont été rendus, pris, dressés ou constatés dans l'État dans lequel ces biens sont situés ou s'ils sont reconnus dans cet État (let. b). Enfin, selon l'art. 99 al. 1 LDIP, les droits réels immobiliers sont régis par le droit du lieu de situation de l'immeuble. Ainsi, la lex rei sitae régit les conditions d'acquisition et de transfert des droits réels immobiliers, ainsi que le contenu et les effets des droits réels immobiliers ; sur ce point, une élection de droit est sans effet (Louis Gaillard, Commentaire romand, LDIP-CL, Bâle 2011, n. 2 et 3 ad art 100 LDIP ; Dutoit, op. cit., n. 1 ad art. 99 LDIP). 4. L’intimé R.________ conteste toute légitimation passive dans cette procédure et soutient qu’il n’a pas qualité de partie, n’étant que représentant conventionnel des intimés A.K.________, B.K.________ et C.K.________. 4.1 4.1.1 La capacité d’être partie et d’ester en justice constituent l’une des conditions de recevabilité de la demande (art. 59 al. 1 et al. 2 let. c CPC), que le tribunal doit examiner d’office en vertu de l’art. 60 CPC. La capacité d’être partie (art. 66 CPC) et la capacité d’ester en justice (art. 67 CPC) sont inséparables des notions, respectivement, de jouissance des droits civils et d’exercice des droits civils appartenant au droit matériel. La capacité d’être partie représente ainsi le pendant procédural de la jouissance des droits civils. La locution désigne la faculté d’être titulaire des droits et des obligations qui résultent de l’instance. Elle requiert en principe la jouissance des droits civils dont elle est un aspect (CPC Annoté Online, p. 6893). La capacité d’ester en justice est la faculté de mener soi-même le procès ou de désigner un mandataire qualifié pour le faire. Elle appartient à toute personne qui a la capacité d’être partie, c’est-à-dire à toute personne qui a la faculté de figurer en son propre nom comme partie dans un procès, à la place de celui qui est, quant au fond, le sujet actif ou passif du droit contesté (« Prozessstandschaft », ATF 116 II 131 consid 3a). Selon le Tribunal fédéral, le pouvoir de conduire le procès en son propre nom, à la place de la partie légitimée par le droit matériel ne peut pas être transféré par acte juridique. Une cession volontaire du droit d’agir, sans cession de créance, n’est pas admissible (ATF 137 III 293 consid. 3.2). Une telle cession du droit d’agir ne peut découler que de la loi (TF 4A_250/2016 du 11 août 2016 consid. 5.2). 4.1.2 En droit suisse, la communauté héréditaire naît de plein droit à l’ouverture de la succession chaque fois qu’il y a plusieurs héritiers (art. 602 al. 1 CC [Code civil suisse du 10 décembre 1907 ; RS 210]). Elle est une communauté en main commune au sens de l’art. 652 CC, qui fait naître de par la loi la propriété commune de ses membres sur les biens successoraux. Elle n’a pas la personnalité morale. La représentation de la communauté envers les tiers obéit aussi aux règles de la main commune : les héritiers ne peuvent obliger la communauté, acquérir ou disposer pour elle qu’en agissant tous ensemble. Ce système étant très lourd, ils peuvent désigner un représentant de la communauté héréditaire (représentant conventionnel, art. 602 al. 2 CC) ; chacun d’eux peut également demander à l’autorité compétente de désigner un représentant (représentant officiel, art. 602 al. 3 CC) (Steinauer, Le droit des successions, 2 e éd., Berne 2015, p. 623, nn. 1220-1221). Les héritiers peuvent ainsi convenir de désigner un représentant, dont les pouvoirs, qui peuvent être généraux ou spéciaux, seront régis par les art. 32 ss CO (Code des obligations du 30 mars 1911 ; RS 220). L’ampleur des pouvoirs d’un tel représentant est définie par la décision des héritiers ou la nature de la mission qu’ils lui confient. Il est aussi possible de confier au représentant les mêmes pouvoirs, généraux et très étendus, que ceux qui peuvent être attribués à un représentant officiel selon l’art. 602 al. 3 CC (Rouiller, Commentaire du droit des successions, Berne 2012, n. 45 ad art. 602 CC). Si un représentant a été désigné par acte juridique conventionnel des héritiers, c’est en première ligne d’après l’interprétation de cet acte que l’on détermine quel pouvoir résiduel des héritiers de disposer des biens subsiste (Rouiller, op. cit., n. 76 ad art. 602 CC). Les pouvoirs du représentant officiel dépendent de la décision de l’autorité qui l’a désigné. De par la loi, il a la qualité de partie dans les procès que la communauté intente ou qui sont intentés contre celle-ci (Spahr, Commentaire romand, Code civil II, Bâle 2016, n. 76 ad art. 602 CC ; Steinauer, op. cit., p. 625, n. 1224a). Les tiers peuvent l’attraire en justice, sans devoir au surplus attraire nommément les héritiers (Rouiller, op. cit., n. 96 ad art. 602 CC). Le représentant officiel de la communauté héréditaire agit en son propre nom en lieu et place de la personne matériellement légitimée. Il s’agit d’un cas de « Prozessstandschaft » (Colombini, Code de procédure civile, Condensé de la jurisprudence fédérale et vaudoise, Lausanne 2019 [ci-après : Code de procédure civile], n. 4.3.1 ad art. 67 CPC ; TF 5A_416/2013 du 26 juillet 2013 ; consid. 3.1) 4.2 En droit français, les héritiers se trouvent dans une position analogue au droit suisse. Ils peuvent toutefois, en vertu des art. 1873-5 et 1873-16 CCF, désigner un gérant d’indivision, qui a alors le pouvoir exclusif d’agir et de défendre pour la succession. En l’espèce, la désignation d’un représentant de l’hoirie relève des modalités d'exécution de la succession, lesquelles sont régies par le droit de l'État dont l'autorité est compétente (art. 92 al. 2 LDIP), en l’occurrence le droit suisse puisque le défunt était domicilié en dernier lieu à [...] (art. 86 al. 2 LDIP) et qu’une éventuelle décision française ne serait pas reconnue, sauf si elle avait trait à un immeuble sis en France, ce qui n’est pas le cas (art. 96 LDIP). Cela étant, l’intimé n’est pas héritier ni légataire de feu D.K.________, il ne tire aucun droit personnel de cette succession. Par ailleurs, l’appelante S.________ ne soutient pas que celui-ci aurait été désigné en qualité de représentant de la communauté héréditaire par une autorité judiciaire et n’a produit aucune décision y relative. Pour le surplus, comme l’a retenu à juste titre la Juge déléguée de la Cour d’appel civile dans son arrêt du 8 octobre 2018/566, s’il est possible de conférer au représentant conventionnel les mêmes pouvoirs que ceux qui peuvent être attribués à un représentant officiel au sens de l’art. 602 al. 3 CC, cela ne signifie pas encore que le représentant conventionnel dispose de la qualité de partie dans les procès intentés contre la communauté héréditaire. En effet, la doctrine distingue systématiquement ces deux sortes de représentant lorsqu’elle évoque leurs attributions. En outre et surtout, elle ne parle que de la qualité de partie du représentant officiel, et non pas du représentant conventionnel, ce qui correspond d’ailleurs à la jurisprudence du Tribunal fédéral qui considère, d’une part, que le représentant de la communauté héréditaire au sens de l’art. 602 al. 3 CC agit en son propre nom en lieu et place de la personne matériellement légitimée et qu’il s’agit d’un cas de cession du droit d’agir et, d’autre part, qu’une cession volontaire du droit d’agir, sans cession de créance, n’est pas admissible, une telle cession ne pouvant découler que de la loi. En définitive, l’appelante n’ayant ni allégué, ni démontré l’existence d’un mandat de représentation officiel, on doit retenir, au stade de la vraisemblance, que c’est sur la base d’un rapport de représentation conventionnel voulu par les héritiers A.K.________, B.K.________ et C.K.________ que l’intimé R.________ est intervenu dans la succession de feu D.K.________. Comme on l’a vu, le représentant conventionnel ne bénéficie pas, comme le représentant officiel, de la qualité de partie. Quant à la possibilité que l’intimé R.________ ait été désigné gérant d’indivision au sens du droit français, elle n’est pas établie. Il s’ensuit que l’appel est irrecevable en tant qu’il est dirigé contre l’intimé R.________. Dans ces conditions, la question de l’éventuelle substitution de Me [...] à Me R.________ (art. 83 CPC) n’a plus d’objet, dans la mesure où celui-ci n’a jamais eu la qualité de représentant officiel de la communauté héréditaire.</w:t>
      </w:r>
    </w:p>
    <w:p>
      <w:r>
        <w:rPr>
          <w:b/>
        </w:rPr>
        <w:t>E. 5</w:t>
      </w:r>
    </w:p>
    <w:p>
      <w:r>
        <w:t>e éd., Bâle 2016, n. 3 ad art. 86 LDIP).</w:t>
      </w:r>
    </w:p>
    <w:p>
      <w:r>
        <w:rPr>
          <w:b/>
        </w:rPr>
        <w:t>E. 5.1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 (Hohl, Procédure civile, tome II, 2 e éd., Berne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w:t>
      </w:r>
    </w:p>
    <w:p>
      <w:r>
        <w:rPr>
          <w:b/>
        </w:rPr>
        <w:t>E. 5.2</w:t>
      </w:r>
    </w:p>
    <w:p>
      <w:r>
        <w:t>Le risque de préjudice difficilement réparable suppose l’urgence. De façon générale, il y a urgence chaque fois que le retard apporté à une solution provisoire met en péril les intérêts d’une des parties (Colombini, Code de procédure civile, n. 6.1 ad art. 261 CPC ; Juge délégué CACI 30 mars 2020/123 consid. 6.2.1).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 er février 2005 consid. 2.2, RSPC 2005 p. 414 ; JdT 2014 III 129 ; Colombini, Code de procédure civile, n. 6.1 ad art. 261 CPC).</w:t>
      </w:r>
    </w:p>
    <w:p>
      <w:r>
        <w:rPr>
          <w:b/>
        </w:rPr>
        <w:t>E. 5.3</w:t>
      </w:r>
    </w:p>
    <w:p>
      <w:r>
        <w:t>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ATF 131 III 473 consid. 2.3, JdT 2005 I 305). Le requérant doit avant tout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Code de procédure civile, Bâle 2019 [ci-après : CR CPC], n. 8 ad art. 261 CPC).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 131 III 473 consid. 2.3, JdT 2005 I 305).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 citées ; ATF 131 III 473 consid. 3.2, JdT 2005 I 305 ; TF 5D_219/2017 du 24 août 2018 consid. 4.2.2).</w:t>
      </w:r>
    </w:p>
    <w:p>
      <w:r>
        <w:rPr>
          <w:b/>
        </w:rPr>
        <w:t>E. 5.4</w:t>
      </w:r>
    </w:p>
    <w:p>
      <w:r>
        <w:t>L orsque l'on se trouve dans le cadre particulier des mesures provisionnelles, l'art. 10 LDIP donne compétence pour prononcer des « mesures provisoires » aux tribunaux ou autorités suisses compétents sur le fond (lit. a) ou à ceux du lieu de l'exécution de la mesure (lit. b). Cette règle rejoint celle prévue à l'art. 13 CPC qui confère une compétence impérative (sauf disposition contraire de la loi) dans la même mesure.</w:t>
      </w:r>
    </w:p>
    <w:p>
      <w:r>
        <w:rPr>
          <w:b/>
        </w:rPr>
        <w:t>E. 6</w:t>
      </w:r>
    </w:p>
    <w:p>
      <w:r>
        <w:t>L’appelante soutient que le premier juge aurait fait preuve de formalisme excessif en rejetant ses requêtes de mesures provisionnelles des 25 juillet 2018 et 22 octobre 2018, complétée le 21 mai 2019, au motif que la demande dont elle avait saisi la Chambre patrimoniale cantonale – et dont elle avait indiqué le numéro dans ses requêtes de mesures provisionnelles – tendait à la constatation de l’étendue du legs d’usufruit mobilier, à la reddition de comptes et à la remise des fruits depuis le [...] 2015, soit à la constatation d’autres prétentions litigieuses que celles fondant les requêtes de mesures provisionnelles, qui concernaient l’usufruit sur l’immeuble sis à [...] et les biens garnissant la maison louée en Espagne. Elle fait valoir que si le premier juge estimait que les mesures provisionnelles requises ne s’inscrivaient pas dans le cadre de la procédure déjà pendante, il aurait dans tous les cas pu et dû se prononcer, en impartissant le cas échéant à la requérante un délai pour le dépôt d’une action au fond en application de l’art. 263 CPC.</w:t>
      </w:r>
    </w:p>
    <w:p>
      <w:r>
        <w:rPr>
          <w:b/>
        </w:rPr>
        <w:t>E. 6.1.1</w:t>
      </w:r>
    </w:p>
    <w:p>
      <w:r>
        <w:t>L'art. 263 CPC prévoit que si l'action au fond n'est pas encore pendante, le tribunal impartit au requérant un délai pour le dépôt de la demande, sous peine de caducité des mesures provisionnelles ordonnées. La norme précitée est de droit impératif et vaut pour toutes les mesures provisionnelles (Schumacher, Das Bauhandwerkpfandrecht, Ergänzungsband zur 3. Auflage, 2011, n. 663, p. 208). En relevant que celles-ci doivent être validées par le dépôt d’une demande au fond dans le délai fixé par le juge, l’art. 263 CPC admet implicitement que les mesures provisionnelles prononcées avant le dépôt de la demande au fond sont admissibles, à moins que le droit matériel ou une règle spéciale ne les exclue (Bohnet, CR CPC, n. 1 ad art. 263 CPC). Les mesures provisionnelles peuvent évidemment être requises du tribunal compétent après l’introduction de l’instance. Elles doivent dans ce cas préfigurer le jugement : une identité d’objet entre les mesures provisionnelles et les conclusions au fond est donc exigée (ibid., n. 21 ad art. 263 CPC). Le délai pour ouvrir action au fond commence à courir avec l’entrée en force de la décision sur mesures provisionnelles, c’est-à-dire à l’échéance du délai d’appel, le cas échéant avec l’arrêt sur appel (ATF 139 III 486, consid. 3 et 4).</w:t>
      </w:r>
    </w:p>
    <w:p>
      <w:r>
        <w:rPr>
          <w:b/>
        </w:rPr>
        <w:t>E. 6.2</w:t>
      </w:r>
    </w:p>
    <w:p>
      <w:r>
        <w:t>Comme le fait valoir à bon droit l'appelante, l'art. 263 CPC permet de requérir des mesures provisionnelles avant la litispendance. Il n'est donc pas nécessaire que les prétentions que les mesures provisionnelles doivent protéger soient identiques à des prétentions qui font déjà l'objet d'un procès au fond. En l'absence de litispendance, il faut seulement, pour que les mesures provisionnelles ordonnées ne soient pas caduques à l'échéance du délai de validation, qu'une demande ou requête au fond, portant sur l'objet des mesures provisionnelles ordonnées, soit déposée dans le délai fixé par le juge en application de l'art. 263 CPC. S'agissant de l'annotation provisoire d'un droit réel allégué, cette absence de nécessité résulte en outre de l'art. 961 CC, qui permet à celui qui allègue un droit réel, ou que la loi autorise à compléter sa légitimation, d'en requérir l'annotation au registre foncier avant toute action au fond ; l'al. 3 de cette disposition prévoit en effet qu'un délai soit imparti à celui qui obtient l'inscription provisoire pour faire valoir son droit en justice. Dans le cas présent, il est vrai que la demande introduite par l'appelante le 21 mars 2018 tend à faire constater l'étendue de son droit d'usufruit mobilier, à faire condamner les défendeurs à lui remettre les documents nécessaires à l'établissement de l'inventaire d'entrée ainsi que les fruits perçus depuis le [...] 2015. On ne saurait dès lors retenir une litispendance préexistante dans la mesure où la requête de mesures provisionnelles du 25 juillet 2018 tend au blocage du registre foncier concernant l’immeuble n° [...] de [...] et où celle du 22 octobre 2018, complétée le 21 mai 2019, tend à l’annotation provisoire au registre foncier de l’usufruit de l’appelante, le cas échéant dès la levée du blocage de ce registre, et à la remise de l’ensemble des meubles, tableaux, objets d’art et autres objets garnissant la villa louée en Espagne par le défunt. Mais ce fait n'empêchait pas le premier juge d'entrer en matière sur ces requêtes de mesures provisionnelles. C'est en effet au vu des circonstances alléguées dans la requête de mesures provisionnelles qu’il convient d’apprécier si l’existence du droit matériel invoqué apparaît vraisemblable et mérite une protection provisoire. Peu importe, à cet égard, le numéro de référence donné par le justiciable. Que l'appelante ait donné pour numéro de référence à ses requêtes de mesures provisionnelles celui de l'affaire au fond connexe, déjà pendante, n'aurait pas dû empêcher le premier juge d'attribuer un autre numéro à ces requêtes et elle n'empêchera pas, à réception des demandes en validation, d'ouvrir un autre dossier, avec un autre numéro de référence. La condition de l’identité d’objet entre les mesures provisionnelles et les conclusions au fond ne saurait en effet constituer un motif de rejet des mesures provisionnelles, l’art 261 CPC – qui énonce de manière exhaustive les conditions auxquelles est subordonnée la protection provisionnelle –, ne prévoyant pas une telle exigence. Si donc le premier juge estimait que la condition de l’identité d’objet faisait défaut, cela aurait dû le conduire, pour autant que les conditions générales de l’art. 261 CPC soient remplies, non pas à refuser les mesures provisionnelles requises, mais à accorder la protection provisionnelle requise en fixant d’office à la requérante un délai pour le dépôt de la demande en application de l’art. 263 CPC. Le motif principal pour lequel le premier juge a rejeté les requêtes de l'appelante ne peut donc être repris.</w:t>
      </w:r>
    </w:p>
    <w:p>
      <w:r>
        <w:rPr>
          <w:b/>
        </w:rPr>
        <w:t>E. 7</w:t>
      </w:r>
    </w:p>
    <w:p>
      <w:r>
        <w:t>L’appelante soutient que l’inscription provisoire de son usufruit sur la parcelle n° [...] de la commune de [...] aurait dû être ordonnée par le premier juge en application de l’art. 961 CC .</w:t>
      </w:r>
    </w:p>
    <w:p>
      <w:r>
        <w:rPr>
          <w:b/>
        </w:rPr>
        <w:t>E. 7.1</w:t>
      </w:r>
    </w:p>
    <w:p>
      <w:r>
        <w:t>Le défunt était de nationalité française et a introduit une élection de droit en faveur de son droit national dans son testament (art. 90 al. 2 LDIP). Se pose donc la question du droit applicable dans la mesure où l’inscription provisoire requise porte sur l’usufruit d’un immeuble sis en Suisse (art. 99 al. 1 LDIP).</w:t>
      </w:r>
    </w:p>
    <w:p>
      <w:r>
        <w:rPr>
          <w:b/>
        </w:rPr>
        <w:t>E. 7.1.1</w:t>
      </w:r>
    </w:p>
    <w:p>
      <w:r>
        <w:t>En droit français, le légataire d'un corps certain qui a accepté le legs acquiert la propriété de son legs dès le jour du décès (cf. Jean Hérail, Legs, in Répertoire de droit civil Dalloz, n. 356). Néanmoins, en vertu de l'art. 1014 al. 2 CCF, le légataire particulier ne pourra se mettre en possession de la chose léguée, ni en prétendre les fruits ou intérêts, qu'à compter du jour de sa demande en délivrance, formée suivant l'ordre établi par l'article 1011 CCF ou du jour auquel cette délivrance lui aurait été volontairement consentie. Selon l'art. 1011 CCF, les légataires à titre universel seront tenus de demander la délivrance aux héritiers auxquels une quotité des biens est réservée par la loi ; à leur défaut, aux légataires universels et, à défaut de ceux-ci, aux héritiers appelés dans l'ordre établi au titre « Des successions ». Ainsi, un légataire particulier n'a le droit de posséder son legs et d'en retirer les fruits qu'à compter du moment où il en demande la délivrance aux héritiers, sauf disposition contraire du défunt ; mais il en est propriétaire dès le décès de celui-ci. Tout au plus, lorsque le legs porte sur un immeuble, son droit de propriété n'est-il opposable aux tiers qu'après l'accomplissement des formes prévues par le droit français pour la publicité foncière (Hérail, op. cit., n. 358). Le legs d'usufruit est l'un des modes d'établissement de l'usufruit (Annie Chamoulaud-Trapiers, Usufruit, in Répertoire de droit civil Dalloz, n. 39). L'efficacité du legs d'usufruit de biens immobiliers est toutefois soumise aux même règles de publicité foncière que le legs en pleine propriété (Chamoulaud-Trapiers, op. cit., n. 257). Ainsi, le légataire acquiert l'usufruit au jour du décès du testateur, mais il ne peut opposer son droit aux tiers qu'après sa constatation par un acte authentique déposé au bureau des hypothèques.</w:t>
      </w:r>
    </w:p>
    <w:p>
      <w:r>
        <w:rPr>
          <w:b/>
        </w:rPr>
        <w:t>E. 7.1.2</w:t>
      </w:r>
    </w:p>
    <w:p>
      <w:r>
        <w:t>En droit suisse, l'usufruit des choses mobilières et des créances s'établit par leur transfert à l'usufruitier, celui des immeubles par l'inscription au registre foncier (art. 746 al. 1 CC). Les règles concernant la propriété sont applicables, sauf dispositions contraires, à l'acquisition de l'usufruit tant mobilier qu'immobilier et à l'inscription (art. 746 al. 2 CC). Selon l'art. 656 CC, l'inscription au registre foncier est nécessaire pour l'acquisition de la propriété foncière (al. 1) ; cette inscription est constitutive. Celui qui acquiert un immeuble par occupation, succession, expropriation, exécution forcée ou jugement en devient toutefois propriétaire avant l'inscription, mais il n'en peut disposer dans le registre foncier qu'après que cette formalité a été remplie (al. 2) ; cette inscription est déclarative. Parmi les cas d’acquisition sans inscription au registre foncier énumérés à l’art. 656 al. 2 CC, seule la succession est une acquisition à titre dérivé. La règle ne vise que les héritiers légaux ou institués, qui acquièrent de plein droit l’universalité de la succession dès que celle-ci est ouverte (art. 560 al. 1 CC) ; s’il y a plusieurs héritiers, ils deviennent propriétaires commun de l’immeuble (art. 602 al. 2 CC). Les héritiers peuvent requérir leur inscription au registre foncier, moyennant la production du certificat d’héritier. L’acquisition par le légataire et l’acquisition par un cohéritier ensuite du partage de la succession ont lieu conformément au principe absolu de l’inscription. Dans le cas du légataire, c’est le débiteur du legs qui doit faire la réquisition d’inscription au registre foncier ; la disposition pour cause de mort ne lui confère en effet qu’une créance lui permettant d’exiger du débiteur du legs la délivrance de celui-ci (art. 484 et 562 CC).</w:t>
      </w:r>
    </w:p>
    <w:p>
      <w:r>
        <w:rPr>
          <w:b/>
        </w:rPr>
        <w:t>E. 7.1.3</w:t>
      </w:r>
    </w:p>
    <w:p>
      <w:r>
        <w:t>Comme le droit français prévoit que le légataire d'usufruit acquiert le droit réel d'usufruit du seul fait du décès du de cujus, sans que ce droit réel restreint ait à être constitué par les héritiers en faveur du légataire ou transféré par eux à celui-ci, on peut se demander si, lorsqu'un défunt dont la succession est soumise au droit français en vertu de l'art. 90 LDIP lègue l'usufruit d'un immeuble sis en Suisse, le droit d'usufruit légué doit être considéré comme ayant été acquis « par succession », au sens de l'art. 656 al. 2 CC, applicable par renvoi de l'art. 746 al. 2 CC, et si, par conséquent, le légataire est en droit d'en obtenir l'inscription avec effet déclaratif, au jour du décès du défunt. Une telle solution pourrait être envisagée – encore qu'elle puisse se heurter à d'autres obstacles – si le droit d'usufruit légué était déjà constitué avant le décès et que le légataire succède au défunt, à titre particulier, dans son droit d'usufruit. Mais elle est en tout cas incompatible avec l'art. 99 LDIP, qui soumet la constitution même des droits réels immobiliers à la lex rei sitae , si l'usufruit légué a pour objet un immeuble dont le défunt était propriétaire, de sorte que le legs porte sur un droit d'usufruit à constituer et non sur un droit d'usufruit préexistant.</w:t>
      </w:r>
    </w:p>
    <w:p>
      <w:r>
        <w:rPr>
          <w:b/>
        </w:rPr>
        <w:t>E. 7.2</w:t>
      </w:r>
    </w:p>
    <w:p>
      <w:r>
        <w:t>Aux termes de l'art. 961 al. 1 CC, les inscriptions provisoires peuvent être prises par celui qui allègue un droit réel (ch. 1) ; par celui que la loi autorise à compléter sa légitimation (ch. 2). Selon l'al. 2 de la même disposition, les inscriptions ont lieu du consentement des intéressés ou en vertu d'une décision judiciaire ; elles ont pour effet que le droit, s'il est constaté plus tard, devient opposable aux tiers dès la date de l'inscription provisoire. Enfin, à teneur de l'al. 3, le juge statue sur la requête et autorise l'inscription provisoire si le droit allégué lui paraît exister : il détermine exactement la durée et les effets de l'inscription et fixe, le cas échéant, un délai dans lequel le requérant fera valoir son droit en justice. Le requérant doit rendre vraisemblable sa prétention et le risque qu’il encourt de subir la perte de son droit du chef de l’acquisition de l’immeuble par un tiers de bonne foi. L’inscription provisoire est accordée à des conditions plus larges que la simple vraisemblance : l’inscription provisoire ne doit être refusée que s’il apparaît clairement  que le droit n’existe pas ou qu’il est peu vraisemblable (Mooser, Commentaire romand Code civil II, Bâle 2016, n. 11 ad. art. 961 CC ; Hohl, op. cit., n° 1574 p. 286). Le rapport entre les art. 960 ss CC (respectivement l’art. 249 let. d ch. 11 CPC) et l’art. 261 CPC n’est pas parfaitement clair. Il n’est pas arbitraire de se fonder sur l’art. 261 CPC. Dans la mesure où est litigieuse l’inscription de l’art. 961 CC, il ressort de la loi que la légitimité doit être rendue vraisemblable également dans ce cadre (Colombini, Code de procédure civile, n. 9.5 ad art. 261 CPC, pp. 829-830).</w:t>
      </w:r>
    </w:p>
    <w:p>
      <w:r>
        <w:rPr>
          <w:b/>
        </w:rPr>
        <w:t>E. 7.4</w:t>
      </w:r>
    </w:p>
    <w:p>
      <w:r>
        <w:t>En l'espèce, feu D.K.________ n'a pas légué à l'appelante un droit d'usufruit immobilier déjà constitué, dont il aurait été le titulaire ; il a, par son testament, légué à S.________ un droit d'usufruit viager (art. 484 al. 2 CC) à constituer sur la parcelle [...] de la commune de [...], le legs étant dû par l’ensemble des héritiers légaux ou institués, à savoir A.K.________, B.K.________ et C.K.________ (art. 562 al. 1 CC). Ce legs est exigible dans la mesure où les héritiers se sont vu délivrer un certificat d’héritiers et ont donc accepté la succession (art. 562 al. 2 CC). Le legs dont l'appelante est gratifiée par le testament n'est selon toute vraisemblance pas soumis à condition. La formule « si elle pense pouvoir l'assumer » montre que le testateur s'en remettait sur ce point à la seule appréciation de la légataire, l’invitant à tenir compte de ce point au moment d'exercer son droit d'option (acceptation ou refus du legs). En outre, il est vraisemblable que l'appelante a accepté le legs et qu'elle a mis en demeure les héritiers de le constituer, dès lors qu'il est incontesté que les héritiers avaient donné mandat au notaire R.________ de requérir son inscription. De surcroît, elle a elle-même requis l’inscription de son usufruit au registre foncier, ce qui démontre sa volonté d’entrer en jouissance de son legs immobilier. L'appelante est en droit d'obtenir des héritiers qu'ils accomplissent les formalités exigées par le droit suisse pour la constitution de son droit d'usufruit. Elle est dès lors fondée à requérir l'inscription provisoire au registre foncier de son droit d'usufruit en application des art. 594 al. 2 et 961 al. 1 ch. 1 CC, afin d’éviter le risque que, pendant le procès au fond, un tiers n’acquière de bonne foi un droit réel sur l’immeuble par effet de l’art. 973 CC. L'appel doit ainsi être admis sur ce point et l'ordonnance attaquée réformée en ce sens qu'ordre est donné au conservateur du registre foncier de procéder à l'inscription provisoire d'un droit d'usufruit viager de l’appelante sur l'immeuble n° [...] de [...]. Cette inscription provisoire sera valable jusqu'à droit connu sur la demande en inscription définitive, un délai au 30 octobre 2020 étant imparti à l’appelante pour ouvrir action en délivrance de son legs immobilier contre les héritiers de feu D.K.________.</w:t>
      </w:r>
    </w:p>
    <w:p>
      <w:r>
        <w:rPr>
          <w:b/>
        </w:rPr>
        <w:t>E. 8</w:t>
      </w:r>
    </w:p>
    <w:p>
      <w:r>
        <w:t>L'appelante conclut au blocage de l'inscription au registre foncier de la cédule hypothécaire de 6'000'000 fr. que les héritiers ont constituée sur l'immeuble n° [...] de [...] et qu'ils ont remise à l'Etat de Vaud pour garantir leurs dettes fiscales. Elle fait valoir que cette cédule aurait été constituée en violation des droits que lui confèrent les art. 599 et 621 CCF. Elle fait aussi valoir qu'elle pourrait être frustrée de son usufruit par une double mise à prix selon l'art. 56 ORFI (ordonnance du Tribunal fédéral sur la réalisation forcée des immeubles du 23 avril 1920 ; RS 281.42), si l'Etat venait à exercer une poursuite en réalisation de gage immobilier.</w:t>
      </w:r>
    </w:p>
    <w:p>
      <w:r>
        <w:rPr>
          <w:b/>
        </w:rPr>
        <w:t>E. 8.1</w:t>
      </w:r>
    </w:p>
    <w:p>
      <w:r>
        <w:t>Parmi les mesures provisionnelles que le tribunal peut ordonner selon l’art. 262 CPC figurent les mesures dites conservatoires, à savoir celles visant à sauvegarder l’état de fait et à assurer l’exécution forcée du jugement à venir (Bohnet, CR CPC, n. 6 ad art. 262 CPC). Le tribunal peut ainsi ordonner au registre foncier (« autorité qui tient un registre » au sens de l’art. 262 let. c CPC) d’inscrire provisoirement une restriction du droit d’aliéner conformément aux art. 960 et 961 CC, voire ordonner le blocage du registre foncier (« Grundbuchsperre ») au sens de l’art. 56 ORF (ordonnance sur le registre foncier du 23 septembre 2011 ; RS 211.432.1). Ces mesures ne peuvent servir qu’à garantir des prétentions (droits réels ou droits personnels au sens de l’art. 959 CC) en lien avec l’immeuble en question qui, si elles devaient être reconnues au fond, auraient un effet sur le registre foncier (« die sich im Falle ihrer Anerkennung grundbuchlich irgendwie auswirken ») (ATF 104 II 170 consid. 5 ; ATF 103 II 1 consid. 2).</w:t>
      </w:r>
    </w:p>
    <w:p>
      <w:r>
        <w:rPr>
          <w:b/>
        </w:rPr>
        <w:t>E. 8.2</w:t>
      </w:r>
    </w:p>
    <w:p>
      <w:r>
        <w:t>L'immeuble n° [...] de la commune de [...] étant sis en Suisse, les droits réels sur cet immeuble sont régis par le droit suisse (art. 99 al. 1 LDIP) ; le droit d'usufruit de l'appelante est dès lors celui qui est prévu par le CC, les art. 599 et 621 CCF invoqués par l’appelante s’avérant inapplicables. En droit suisse, le droit d'usufruit n'interdit pas au nu-propriétaire d'engager l'immeuble. De manière générale, le propriétaire peut, à son gré et sans limites, grever son immeuble de plusieurs servitudes, charges foncières ou droit de gage (Dubois, Commentaire romand Code civil II, nn. 2 et 6 ad art. 812 CC). Certes, conformément à l'art. 812 al. 2 CC, l'inscription de la cédule hypothécaire au porteur constituée par les nus-propriétaires, avec effet au jour du dépôt de la réquisition d'inscription, soit entre le 7 juin et le 27 juillet 2018, exposera l'appelante au risque d'une double mise à prix, au sens de l'art. 56 ORFI, à tout le moins si le porteur est de bonne foi. Mais il s'agit d'une conséquence de la foi publique attachée au registre foncier, que l'appelante n'est pas fondée à empêcher, faute pour elle d’avoir requis plus tôt l’inscription provisoire de son usufruit sur l’immeuble précité. Il n’y a sous l’angle de la constitution d’une cédule hypothécaire en faveur d’un tiers créancier aucune atteinte portée par les intimés A.K.________, B.K.________ et C.K.________ au droit d’usufruit de l’appelante sur la villa de [...]. La condition de la vraisemblance de la prétention invoquée n’étant pas réalisée, la requête de l’appelante tendant au blocage provisoire du registre foncier concernant l’immeuble n° [...] de [...] jusqu’à droit connu sur la demande au fond qu’elle a déposée le 21 mars 2018 est infondée et doit être en conséquence rejetée. Au surplus, cette demande porte sur l’étendue du droit d’usufruit accordé à l’appelante par feu D.K.________. Elle est sans lien avec la constitution de la cédule hypothécaire litigieuse, à laquelle l’appelante prétend faire obstacle. Si l'inscription de la cédule hypothécaire devait finalement frustrer l’appelante de son usufruit en raison de la double mise à prix de l’immeuble litigieux, il lui serait peut-être loisible de demander réparation de ce dommage aux héritiers – à condition d'établir que la constitution de la cédule constituait un acte illicite et fautif – mais elle ne saurait empêcher l'Etat de Vaud, contre lequel la requête de mesures provisionnelles n'est du reste pas dirigée, d'acquérir son droit de gage, s'il est de bonne foi. C'est dès lors à bon droit que le premier juge a rejeté la requête de l'appelante dans la mesure où elle tendait au blocage du registre foncier.</w:t>
      </w:r>
    </w:p>
    <w:p>
      <w:r>
        <w:rPr>
          <w:b/>
        </w:rPr>
        <w:t>E. 9</w:t>
      </w:r>
    </w:p>
    <w:p>
      <w:r>
        <w:t>Dans un dernier grief, l’appelante reproche au premier juge de ne pas avoir faire droit à sa requête de mesures provisionnelles du 21 mai 2019, tendant à la délivrance du legs d’usufruit en tant qu’il porte sur l’ensemble des meubles, tableaux, objets d’art et autres objets qui garnissaient la maison louée par feu D.K.________ en Espagne.</w:t>
      </w:r>
    </w:p>
    <w:p>
      <w:r>
        <w:rPr>
          <w:b/>
        </w:rPr>
        <w:t>E. 9.1</w:t>
      </w:r>
    </w:p>
    <w:p>
      <w:r>
        <w:t>La compétence des autorités judiciaires suisses pour ordonner les mesures provisionnelles en application de l’art. 261 CPC, subsidiairement pour connaître de l’action en délivrance du legs, est donnée par les art. 10 et 86 al. 1 LDIP.</w:t>
      </w:r>
    </w:p>
    <w:p>
      <w:r>
        <w:rPr>
          <w:b/>
        </w:rPr>
        <w:t>E. 9.2</w:t>
      </w:r>
    </w:p>
    <w:p>
      <w:r>
        <w:t>Les biens se trouvant dans la maison qu’occupaient le défunt et l’appelante en Espagne ont fait l’objet d’un inventaire dressé le 24 mars 2016 à la demande des héritiers. Sur cet inventaire, l’appelante a porté au regard de certains de ces biens l’annotation manuscrite « C.C », les biens ainsi désignés étant censés lui appartenir déjà avant le décès de feu D.K.________. Les héritiers contestent la valeur probante des annotations de l’appelante pour établir la propriété de celle-ci sur les biens qu’elle revendique comme lui ayant déjà appartenu du vivant de feu D.K.________ et font valoir que les tribunaux suisses seraient incompétents territorialement pour connaître d’une demande en restitution de biens qui ne seraient pas des legs. Selon les intimés, les deux actions, dont les objets resteraient à départager, ne pourraient être cumulées, vu l’incompétence des tribunaux suisses pour connaître de l’action en revendication des biens mobiliers dont l’appelante allègue la propriété. Les intimés commettent cependant un abus de droit (art. 2 CC) manifeste en contestant la compétence du juge saisi – qui est celui de l’action en délivrance du legs – au motif que, selon l’appelante, certains de ces biens ne seraient pas des legs, alors qu’eux-mêmes, contestant la force probante des annotations de l’appelante sur l’inventaire, soutiennent précisément que la totalité des biens inventoriés appartenaient à feu D.K.________ et seraient ainsi l’objet du legs d’usufruit. Il n’y a dès lors pas lieu d’entrer en matière sur les moyens que les intimés veulent tirer des règles de compétence internationale. Au surplus, un tri des biens n’apparaît ni nécessaire ni légitime, puisque la requête de mesures provisionnelles est fondée sur le legs d’usufruit prévu en la faveur de l’appelante par les dispositions testamentaires de feu D.K.________ et que les biens dont elle revendique la propriété sont de toute manière soumis à cet usufruit. Sur le fond, les intimés ne contestent pas que les biens qui garnissaient la maison en Espagne ont été légués en usufruit à l’appelante. Ils ne contestent pas davantage que celle-ci les a vainement mis en demeure de la mettre en possession de ces objets. La prétention de l’appelante est ainsi rendue vraisemblable, dans une mesure qui confine à la certitude. L’absence de jouissance de ces biens lui cause un préjudice difficilement réparable, dès lors que la jouissance de meubles ou objets d’art ne peut être compensée d’aucune manière. Après que l’inventaire de la totalité des biens se trouvant dans la maison en Espagne ait été dressé le 24 mars 2016, soit quelques semaines après le décès du compagnon de l’appelante, les héritiers ont vidé la maison et fait entreposer ces biens dans un lieu qui reste aujourd’hui inconnu, ceux-ci se refusant à renseigner l’appelante sur cette question et sur celle des conditions dans lesquelles ils sont déposés et se bornant à indiquer qu’ils seraient stockés en sécurité dans un garde-meuble. Elle se trouve depuis lors privée de la jouissance de ces biens, bien qu’elle ait formellement requis la délivrance de ces biens par courrier du 27 mars 2018, les intimés persistant à différer la remise de ce legs d’usufruit pourtant incontesté. Chaque jour qui passe accroît ainsi le dommage de l’appelante, qui se voit injustement privée de la jouissance des biens garnissant la maison en Espagne, nonobstant la volonté claire du défunt sur ce point. Vu la très haute vraisemblance du droit invoqué par l’appelante et le préjudice irréparable que lui causent les manœuvres dilatoires des intimés, il se justifie, dans une telle situation, d’accorder à l’appelante une protection immédiate et de lui permettre en conséquence l’exercice de son droit d’usufruit sur ces biens. Les conditions des mesures d’exécution anticipée étant remplies, eu égard aux fortes chances de succès de l’appelante sur la question de la délivrance du legs d’usufruit portant sur les biens « espagnols » dans le procès au fond, il sera fait droit aux conclusions de l’appelante. En tant que ces dernières portent sur les biens faisant l’objet de l’inventaire du 24 mars 2016, qui a été produit en première instance, elles s’avèrent suffisamment précises pour qu’elles puissent être reprises telles quelles dans le dispositif (ATF 137 III 617 consid. 4.3, JdT 2014 II 187 ; TF 4A_383/2013 du 2 décembre 2013 consid. 3.2.1, publiée in RSPC 2014 p. 221) et donner le cas échéant lieu à l’exécution forcée. L’inventaire du 24 mars 2016 sera joint au présent arrêt pour en faire partie intégrante. En application de l’art. 263 CPC, un délai au 30 octobre 2020 sera imparti à l’appelante pour la validation des mesures provisionnelles concernant l’usufruit des biens mobiliers qui se trouvaient dans la villa en Espagne. Dans ce délai, l’appelante devra préciser la conclusion I de sa demande du 21 mars 2018 de manière à ce qu’elle comprenne clairement la constatation d’un droit d’usufruit sur les biens inventoriés ou, à ce défaut, déposer une nouvelle demande au fond, sous peine de caducité des mesures provisionnelles précitées.</w:t>
      </w:r>
    </w:p>
    <w:p>
      <w:r>
        <w:rPr>
          <w:b/>
        </w:rPr>
        <w:t>E. 10.1</w:t>
      </w:r>
    </w:p>
    <w:p>
      <w:r>
        <w:t>En définitive, l’appel doit être partiellement admis, dans la mesure de sa recevabilité, et l’ordonnance réformée dans le sens des considérants qui précèdent. Il convient dès lors d’examiner la répartition des frais judiciaires de première instance, se montant à 2'350 francs. Les requêtes de mesures provisionnelles de S.________ sont irrecevables en tant qu’elles sont dirigées contre R.________. Pour le surplus, S.________ obtient gain de cause contre A.K.________, B.K.________ et C.K.________ en ce qui concerne l’inscription provisoire de son droit d’usufruit sur la parcelle n° [...] de [...] et la délivrance du legs d’usufruit consenti sur les biens garnissant la maison en Espagne. Elle perd en revanche sur la question du blocage du registre foncier concernant la parcelle précitée. Vu l’issue du litige (art. 106 al. 2 CPC), S.________ supportera la part des frais judiciaires de première instance concernant les mesures provisionnelles requises contre R.________, à raison d’un tiers (784 fr.). Le solde de ces frais (1'566 fr.) sera réparti à parts égales entre S.________ (783 fr.) d’une part et A.K.________, B.K.________ et C.K.________ (783 fr.) d’autre part, débiteurs solidaires (art. 106 al. 3 CPC). Ceux-ci verseront ainsi à S.________ le montant de 783 fr. à titre de restitution partielle de l’avance de frais de première instance versée par cette dernière (art. 122 al. 1 let. c CPC). Dès lors que l’intimé R.________ obtient entièrement gain de cause, l’allocation de dépens de première instance à hauteur de 1'000 fr. sera confirmée. Quant aux dépens de S.________ et de A.K.________, B.K.________ et C.K.________, ils seront compensés, vu le sort du litige.</w:t>
      </w:r>
    </w:p>
    <w:p>
      <w:r>
        <w:rPr>
          <w:b/>
        </w:rPr>
        <w:t>E. 10.2</w:t>
      </w:r>
    </w:p>
    <w:p>
      <w:r>
        <w:t>Les frais judiciaires de deuxième instance seront arrêtés à 1'200 fr., soit 400 fr. pour les mesures superprovisionnelles et provisionnelles requises devant l’autorité d’appel (art. 78 al. 1 TFJC [tarif des frais judiciaires civils du 28 septembre 2010 ; BLV 270.11.5] par analogie) et 800 fr. pour l’appel (art. 65 al. 1 TFJC). Vu l’adjudication respective des conclusions des parties, les frais judiciaires de deuxième instance seront supportés par S.________ à raison de deux tiers (800 fr.) et par A.K.________, B.K.________ et C.K.________, solidairement entre eux, à raison d’un tiers (400 fr.). Ceux-ci verseront en conséquence à S.________ le montant de 400 fr. à titre de restitution partielle de l’avance de frais de deuxième instance versée par cette dernière. La charge des dépens est estimée à 3'600 fr. pour chacune des parties. Vu l’issue du litige, S.________ versera à R.________, qui obtient entièrement gain de cause dans la question qui le concerne, la somme de 1'200 fr. à titre de dépens de deuxième instance. Pour le surplus, les dépens entre S.________ d’une part et A.K.________, B.K.________ et C.K.________ d’autre part seront compensés.</w:t>
      </w:r>
    </w:p>
    <w:p>
      <w:r>
        <w:rPr>
          <w:b/>
        </w:rPr>
        <w:t>E. 10.3</w:t>
      </w:r>
    </w:p>
    <w:p>
      <w:r>
        <w:t>Vu l’arrêt rendu sur le présent appel, la requête de mesures provisionnelles déposée le 10 décembre 2019 n’a dès lors plus d’objet. Par ces motifs, le juge délégué de la Cour d’appel civile prononce : I. L’appel est partiellement admis, dans la mesure de sa recevabilité. II. Il est statué à nouveau comme il suit : I. joint la cause de mesures provisionnelles introduite le 25 juillet 2018 avec la cause de mesures provisionnelles introduite le 22 octobre 2018 et complétée le 21 mai 2019 ; II. déclare irrecevables les conclusions prises par la requérante S.________ contre l’intimé R.________ ; III. révoque l’ordonnance de mesures superprovisionnelles rendue le 26 juillet 2018 par le Juge délégué de la Chambre patrimoniale cantonale prévoyant le blocage du Registre foncier, office de La Côte, concernant l’immeuble n° [...] sis sur le territoire de la commune [...]; IV. ordonne l’inscription provisoire au Registre foncier, Office de La Côte, du droit d’usufruit viager en faveur de la requérante S.________, née le [...] 1958, sur l’immeuble n° [...] sis sur le territoire de la commune de [...], dont la désignation cadastrale est la suivante : Commune politique : [...] Tenue du registre foncier : fédérale No d’immeuble : [...] Forme de registre foncier : fédérale E-GRID : [...] Surface : [...] m 2 , numérisé Mutation : [...] [...] (démolition bât. [...]) [...] Démolition No [...] ECA [...] Cadastration Nos [...] et [...] ECA No plan : [...] Désignation de la situation :              [...] [...] Couverture du sol : Bâtiment(s), [...] m 2 Accès, place privée, [...] m 2 Jardin, [...] m 2 Bâtiments/Constructions : Habitation et garage, N° d’assurance : [...], 755 m 2 Habitation, N° d’assurance : [...], 0 m 2 Surface totale [...] m 2 (souterrain) Estimation fiscale : 8'990'000.00               2013 (06.06.2013) V. dit que l’inscription provisoire ordonnée sous chiffre IV restera valable jusqu’à jugement définitif et exécutoire sur la demande d’inscription définitive du droit d’usufruit de la requérante S.________ sur l’immeuble n° [...] sis sur le territoire de la commune de [...]. VI. fixe à la requérante S.________ un délai au 30 octobre 2020 pour agir en inscription définitive, sous peine de caducité et de radiation de l’inscription ordonnée sous chiffre IV de la présente décision ; VII. ordonne aux intimés A.K.________, B.K.________ et C.K.________, solidairement entre eux, de remettre à la requérante S.________, dans les trente jours dès communication de la présente décision, les meubles, tableaux, objets d’art et autres objets mentionnés sur l’inventaire du 24 mars 2016 annexé à la présente pour en faire partie intégrante, sous la menace de la peine d’amende prévue par l’art. 292 CP (Code pénal suisse du 21 décembre 1937 ; RS 311) dont la teneur est la suivante : Celui qui ne se sera pas conformé à une décision à lui signifiée, sous la menace de la peine prévue au présent article, par une autorité ou un fonctionnaire compétents sera puni d’une amende. VIII. fixe à la requérante S.________ un délai au 30 octobre 2020 pour préciser la conclusion I de sa demande du 21 mars 2018 de manière à ce qu’elle comprenne clairement la constatation d’un droit d’usufruit sur les biens inventoriés ou, à ce défaut, pour qu’elle dépose une nouvelle demande au fond, sous peine de caducité de la mesure prise au chiffre VII de la présente décision ; IX. met les frais judiciaires, arrêtés à 2'350 fr. (deux mille trois cent cinquante francs), à la charge de la requérante S.________ à concurrence de 1'567 fr. (mille cinq cent soixante-sept francs) et à la charge des intimés A.K.________, B.K.________ et C.K.________, solidairement entre eux, à concurrence de 783 fr. (sept cent huitante trois francs) ; X. dit que les intimés A.K.________, B.K.________ et C.K.________ doivent paiement à S.________ du montant de 783 fr. (sept cent huitante-trois francs) en remboursement de leur part des frais judiciaires et compense pour le surplus les dépens entre la requérante S.________ et les intimés A.K.________, B.K.________ et C.K.________ ; XI. dit que la requérante S.________ versera à l’intimé R.________ la somme de 1'000 fr. (mille francs) à titre de dépens ; XII. rejette toutes autres ou plus amples conclusions. III. Les frais judiciaires de deuxième instance, arrêtés à 1'200 fr. (mille deux cents francs), sont mis à la charge de l’appelante S.________ par 800 fr. (huit cents francs) et à la charge des intimés A.K.________, B.K.________ et C.K.________, solidairement entre eux, par 400 fr. (quatre cents francs). IV . Les intimés A.K.________, B.K.________ et C.K.________, débiteurs solidaires, doivent verser à la requérante S.________ la somme de 400 fr. (quatre cents francs) à titre de restitution partielle d’avance de frais de deuxième instance. V. La requérante S.________ doit verser à l’intimé R.________ la somme de 1'200 fr. (mille deux cents francs) à titre de dépens de deuxième instance. VI. Les dépens de deuxième instance entre la requérante S.________ et les intimés A.K.________, B.K.________ et C.K.________ sont pour le surplus compensés. VII. La requête de mesures provisionnelles déposée le 10 décembre 2019 par S.________ n’a plus d’objet. VIII . L’arrêt est exécutoire Le juge délégué : La greffière : Note de la greffière : L’arrêt original comporte à la suite du dispositif l’inventaire du 24 mars 2016 qu’il est inutile de reproduire ici. Du Le présent arrêt, dont la rédaction a été approuvée à huis clos, est notifié en expédition complète à : ‑ Me François Roux (pour S.________), ‑ Me Stefan Disch (pour A.K.________, B.K.________ et C.K.________), ‑ Me Peter Schaufelberger (pour R.________). Elle est communiqué par e-fax et par l’envoi d’un extrait à : ‑ M. le Conservateur du Registre foncier, Office de La Côte. Elle est communiqué, par l'envoi d’une copie, à : ‑ M. le Juge délégué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 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