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34 vom 21. Februar 2020</w:t>
      </w:r>
    </w:p>
    <w:p>
      <w:r>
        <w:t>VD Tribunal cantonal, 2020-02-21, FR</w:t>
      </w:r>
    </w:p>
    <w:p>
      <w:r>
        <w:rPr>
          <w:b/>
        </w:rPr>
        <w:t xml:space="preserve">Quelle: </w:t>
      </w:r>
      <w:r>
        <w:t>https://mcp.opencaselaw.ch/entscheid/vd_findinfo_HC___2020___34</w:t>
      </w:r>
    </w:p>
    <w:p>
      <w:r>
        <w:t>FR: VD_FINDINFO HC / 2020 / 34 du 21 février 2020</w:t>
      </w:r>
    </w:p>
    <w:p>
      <w:r>
        <w:t>IT: VD_FINDINFO HC / 2020 / 34 del 21 febbraio 2020</w:t>
      </w:r>
    </w:p>
    <w:p>
      <w:pPr>
        <w:pStyle w:val="Heading2"/>
      </w:pPr>
      <w:r>
        <w:t>Regeste</w:t>
      </w:r>
    </w:p>
    <w:p>
      <w:r>
        <w:t>MESURE PROVISIONNELLE, DOMMAGE IRRÉPARABLE, CHARGE FONCIÈRE, SERVITUDE PERSONNELLE | 2 al. 2 CC, 641 CC, 261 al. 1 CPC (CH), 264 al. 1 CPC (CH), 308 al. 1 let. b CPC (CH)</w:t>
      </w:r>
    </w:p>
    <w:p>
      <w:pPr>
        <w:pStyle w:val="Heading2"/>
      </w:pPr>
      <w:r>
        <w:t>Erwägungen</w:t>
      </w:r>
    </w:p>
    <w:p>
      <w:r>
        <w:rPr>
          <w:b/>
        </w:rPr>
        <w:t>E. 12</w:t>
      </w:r>
    </w:p>
    <w:p>
      <w:r>
        <w:t>En définitive, l’appel de Z.________SA doit être rejeté, l’appel de D.________SA admis et l’ordonnance réformée en ce sens que cette dernière n’est pas astreinte au versement de sûretés. Les frais judiciaires de deuxième instance, arrêtés à 18'750 fr. pour l’appel de Z.________SA (art. 62 al. 1 TFJC [Tarif du 28 septembre 2010 des frais judiciaires civils ; BLV270.11.5]), sont mis à sa charge dès lors qu’elle succombe (art. 106 al. 1 CPC). Les frais judiciaires de deuxième instance, arrêtés à 17’000 fr. pour l’appel de D.________SA (art. 62 al. 1 TFJC [Tarif du 28 septembre 2010 des frais judiciaires civils ; BLV270.11.5]), sont mis à la charge de Z.________SA, laquelle lui versera ce montant à titre de restitution d’avance de frais (art. 111 al. 2 CPC). Cette dernière versera en outre à l’appelante D.________SA la somme de 15’000 fr. (art. 7 et 3 TDC [ tarif des dépens en matière civile du 23 novembre 2010; BLV 270.11.6]) à titre de dépens de deuxième instance ( art. 106 al. 1 CPC) . Par ces motifs, le Juge délégué de la Cour d’appel civile prononce : I. Les appels sont joints. II. L’appel de Z.________SA est rejeté. III. L’appel de D.________SA est admis. IV. L’ordonnance est réformée en ce sens que le chiffre IV de son dispositif est supprimé. L’ordonnance est confirmée pour le surplus. V. Les frais judiciaires de deuxième instance de l’appel de Z.________SA, arrêtés à 18’750 fr. (dix-huit mille sept cent cinquante francs), sont mis à la charge de l’appelante Z.________SA. VI. Les frais judiciaires de deuxième instance de l’appel de D.________SA, arrêtés à 17’000 fr. (dix-sept mille francs), sont mis à la charge de l’intimée Z.________SA. VII. L’appelante et intimée Z.________SA doit verser à l’appelante et intimée D.________SA la somme de 32’000 fr. (trente-deux mille francs) à titre de dépens de deuxième instance et de restitution d’avance de frais. VIII. L’arrêt est exécutoire. Le juge délégué : La greffière : Du Le présent arrêt, dont la rédaction a été approuvée à huis clos, est notifié en expédition complète à : ‑ Me Philippe Reymond (pour D.________SA), ‑ Me Denis Bettems (pour Z.________SA),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