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31 vom 5. Februar 2020</w:t>
      </w:r>
    </w:p>
    <w:p>
      <w:r>
        <w:t>VD Tribunal cantonal, 2020-02-05, FR</w:t>
      </w:r>
    </w:p>
    <w:p>
      <w:r>
        <w:rPr>
          <w:b/>
        </w:rPr>
        <w:t xml:space="preserve">Quelle: </w:t>
      </w:r>
      <w:r>
        <w:t>https://mcp.opencaselaw.ch/entscheid/vd_findinfo_HC___2020___31</w:t>
      </w:r>
    </w:p>
    <w:p>
      <w:r>
        <w:t>FR: VD_FINDINFO HC / 2020 / 31 du 5 février 2020</w:t>
      </w:r>
    </w:p>
    <w:p>
      <w:r>
        <w:t>IT: VD_FINDINFO HC / 2020 / 31 del 5 febbraio 2020</w:t>
      </w:r>
    </w:p>
    <w:p>
      <w:pPr>
        <w:pStyle w:val="Heading2"/>
      </w:pPr>
      <w:r>
        <w:t>Regeste</w:t>
      </w:r>
    </w:p>
    <w:p>
      <w:r>
        <w:t>JUGEMENT DE DIVORCE, AUTORITÉ PARENTALE, AUTORITÉ PARENTALE CONJOINTE, GARDE DE FAIT, DROIT DE DÉTERMINER LE LIEU DE RÉSIDENCE, ENFANT, PRÉVOYANCE PROFESSIONNELLE, PARTAGE{SENS GÉNÉRAL} | 122 CC, 123 al. 1 CC, 124b al. 2 CC, 296 al. 2 CC, 298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non patrimoniales et patrimoniales supérieures à 10'000 francs. Il est ainsi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w:t>
      </w:r>
    </w:p>
    <w:p>
      <w:r>
        <w:rPr>
          <w:b/>
        </w:rPr>
        <w:t>E. 2.3</w:t>
      </w:r>
    </w:p>
    <w:p>
      <w:r>
        <w:t>En l'espèce, dès lors que la présente cause concerne principalement le sort des trois enfants mineurs des parties, les pièces nouvelles produites par l'appelant et l'intimée à l'appui de leurs écritures sont recevables et ont été prises en compte dans la mesure de leur pertinence. Il en va de même des pièces dont la production a été requise par la Juge déléguée de la Cour de céans.</w:t>
      </w:r>
    </w:p>
    <w:p>
      <w:r>
        <w:rPr>
          <w:b/>
        </w:rPr>
        <w:t>E. 3</w:t>
      </w:r>
    </w:p>
    <w:p>
      <w:r>
        <w:t>.4.1 II ressort de la synthèse du bilan périodique de l'action socio-éducative 2017, établi en mai 2018 à l'attention de la justice de paix, que le conflit parental est persistant, que les enfants sont pris dans ce climat délétère et que les parents ont besoin de tiers pour communiquer en ce qui concerne leurs enfants, étant régulièrement en désaccord concernant leurs besoins et les prises en charge nécessaires à leurs développements. Il est indéniable que le père a été à l'origine de blocages contraires à l'intérêt de B.I.________, notamment s'agissant du placement à l'école [...] entre 2015 et 2018 ainsi que s'agissant de sa prise en charge thérapeutique. En particulier, lors de l'audience du 18 août 2015, le représentant du SPJ a clairement souligné que B.I.________ avait besoin d'un cadre global, à savoir d'un suivi éducatif et d'un enseignement spécialisé pour lui permettre de se sentir en sécurité et de gérer toutes les difficultés inhérentes au conflit parental persistant, de sorte qu'il était nécessaire qu'il entre à l'école [...]. Il a ajouté qu'il n'avait eu aucune demande claire avec un engagement réel et un projet concret de la part du père d'accueillir son fils à son domicile et que des comportements tels que ses refus de prendre ses enfants en vacances pour une partie de la période faisaient qu'il n'était pas fiable. Selon le témoin, A.I.________ devait absolument améliorer sa communication aussi bien vis-à-vis de son épouse que des enfants et remettre ceux-ci au centre de ses préoccupations. Nonobstant les explications formulées par le SPJ, le père a toutefois persisté à s'opposer au placement de son fils à l'école [...], de sorte qu'une décision judiciaire a été nécessaire à ce sujet. En ce qui concerne le traitement thérapeutique de B.I.________, celui-ci a d'abord été interrompu en 2017, dès lors que le père n'y adhérait pas. Selon les déclarations de G.________ lors de l'audience de plaidoiries finales du 26 septembre 2018, la reprise de ce suivi thérapeutique n'avait pas encore pu se faire en raison des difficultés de communication encore présentes entre les parents, s’agissant du choix du thérapeute notamment. Ce suivi n'a finalement pu se mettre en place qu'à la rentrée scolaire d'août 2019, auprès du Dr [...]. Contrairement à ce que laisse entendre l'appelant, on ne saurait attribuer aux parents l'autorité parentale conjointe s'ils ne sont pas aptes à communiquer à l'avenir sans l'intervention de tiers; aussi, il ne suffit pas de constater l'instauration d'une curatelle d'assistance éducative, comme il le laisse entendre, pour attribuer l'autorité parentale conjointement aux deux parents, étant encore rappelé que l'appelant ne se montre pas toujours coopérant avec l'assistante sociale chargée de la curatelle précitée et que la communication entre les parties reste difficile. Quant au prétendu refus de la mère, relayé par [...] dans son courriel du 15 avril 2019, que le père s'entretienne seul avec l'enseignante de sa fille, au motif qu'elle détenait exclusivement l'autorité parentale, et à sa prétendue opposition à ce que le père prenne C.I.________ à la sortie de l'école (cf. chiffre C/10 supra ), ces éléments ne sont pas établis, dès lors qu'ils ressortent uniquement dudit courriel. Même à supposer qu'ils le soient, on ne saurait y voir une absence absolue de tolérance des liens (Bindungstoleranz) de la part de l'intimée. En effet, celle-ci n'aurait fait que se prévaloir, à réception du jugement entrepris, de l'autorité parentale exclusive prononcée en sa faveur et du droit de visite prévu à l'endroit du père. Il faut également relever que le père n'apparaît pas non plus s'être concerté avec la mère en vue d'un entretien – par exemple en commun – avec l'enseignant de C.I.________. 3.4.2 L'assistante sociale du SPJ G.________ a déclaré, lors de son audition en qualité de témoin à l'audience de plaidoiries finales du 26 septembre 2018, que si l'autorité parentale conjointe n'était pas, à l'heure actuelle, un frein aux démarches des parties, il était délicat de se prononcer pour le futur. Le jugement entrepris va dans le même sens, parlant d'une situation qui se serait nettement améliorée, mais relevant qu'en l'état et pour l'instant à tout le moins, l'autorité parentale devait être confiée exclusivement à la mère. Il y a également lieu de rappeler qu'un bilan s'agissant de l'intervention du SPJ par le biais de la curatelle d'assistance éducative a été requis d'office. Les informations complémentaires du SPJ, datant du 3 octobre 2019, font état du comportement violent de B.I.________ envers sa mère, que l'enfant explique par son souhait de vivre auprès de son père. La mère a ainsi procédé à la régulation des conversations téléphoniques entre les enfants et leur père, nécessaire selon le SPJ au regard des comportements violents des enfants à l'endroit de leur mère, suite à ces conversations. Le SPJ relève que la collaboration avec le père des enfants reste compliquée, celui-ci ne répondant pas aux demandes d'entretien de l'autorité. Le père n'a en outre pas honoré entièrement son droit de visite, plus particulièrement durant les vacances d'été. Il a rencontré B.I.________ en dehors de ce droit de visite et sans en avertir la mère, allant même à une reprise jusqu'à tenir des propos dénigrants et menaçants envers cette dernière en présence de B.I.________. Le SPJ relève encore que B.I.________ est suivi par un pédopsychiatre depuis la rentrée scolaire 2019, et qu'au niveau scolaire, l'évolution des trois enfants est positive. Le travail de la mère des enfants avec l'éducateur de l'AEMO se poursuit, de sorte que la mère bénéficie d'un regard extérieur lui offrant du soutien dans son rôle parental et dans les réponses éducatives apportées aux enfants. 3.4.3 L'appelant s'appuie encore dans son appel sur le jugement du Tribunal de police du 17 décembre 2018, dont on ne saurait faire abstraction dans l'examen des circonstances du cas d'espèce. Le Tribunal de police a retenu, en définitive, que la mère avait infligé à son fils B.I.________ des gifles régulières – dont l'intensité ne pouvait être déterminée –, l'avait pris par le bras en lui occasionnant des marques indéterminées, l'avait frappé au niveau de la tête – sans que l'intensité ne puisse être déterminée – et lui avait infligé une fessée qui avait occasionné des hématomes. Selon le tribunal, les faits dont l'intensité n'avait pu être déterminée étaient constitutifs de voies de faits qualifiées, qui étaient prescrites car le dernier acte remontait au 14 août 2015, alors que la fessée administrée entre le 1 er et le 11 août 2015, qui avait provoqué des hématomes, réalisait les conditions de l'infraction de lésions corporelles simples qualifiées, pour lesquelles une peine pécuniaire de 15 jours-amende à 50 fr. le jour, avec sursis durant deux ans, avait été prononcée. L'appelant ne saurait cependant rien tirer en sa faveur de ce qui précède, dès lors que les faits remontent, pour les derniers d'entre eux, au mois d'août 2015, alors que le conflit conjugal et parental était au plus vif, et que, depuis lors, l'enfant B.I.________ a été placé, avec succès quant à son développement puisqu'il a réintégré l'école publique en 2018, aucun autre élément du dossier ne permettant de retenir un quelconque danger encouru par les enfants, singulièrement par B.I.________. En particulier, le bilan de l'action socio-éducative pour l'année 2017 établi par le SPJ au printemps 2018 relève qu'à la demande du père de l'enfant, un rapport de l'Hôpital de l'Enfance avait été établi en septembre 2017, décrivant un bon état physique général de B.I.________, le suivi thérapeutique de celui-ci ayant pris fin en raison de la non-adhésion du père. Les informations complémentaires du SPJ du 3 octobre 2019 ne font pas état de maltraitance, mais relèvent le suivi de B.I.________ par un pédopsychiatre, l'évolution positive des trois enfants au niveau scolaire et le soutien apporté par l'éducateur AEMO à la mère. Quant à l'audition de l'enfant B.I.________ par la juge déléguée, elle n'a pas non plus permis de constater une quelconque maltraitance par la mère, B.I.________ s'étant borné à relever que sa mère avait installé le contrôle parental pour la télévision et les jeux vidéo. Partant, compte tenu de ce qui précède, il n'y a pas lieu de s'écarter de la décision des premiers juges, l'attribution exclusive de l'autorité parentale sur les enfants B.I.________, C.I.________ et D.I.________ à S.________ devant être confirmée.</w:t>
      </w:r>
    </w:p>
    <w:p>
      <w:r>
        <w:rPr>
          <w:b/>
        </w:rPr>
        <w:t>E. 3.1</w:t>
      </w:r>
    </w:p>
    <w:p>
      <w:r>
        <w:t>Dans un premier moyen, l'appelant conteste l'attribution exclusive de l'autorité parentale sur les trois enfants à l'intimée.</w:t>
      </w:r>
    </w:p>
    <w:p>
      <w:r>
        <w:rPr>
          <w:b/>
        </w:rPr>
        <w:t>E. 3.2.1</w:t>
      </w:r>
    </w:p>
    <w:p>
      <w:r>
        <w:t>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(TF 5A_985/2014 du 25 juin 2015 consid. 3.1.1, FamPra.ch 2015 p. 975). Le Tribunal fédéral a retenu que pour s'écarter de l'autorité parentale conjointe et attribuer l'autorité parentale à l'un des parents seulement,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III 472 consid. 4.3 et 4.7, 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Il incombe au juge saisi de déterminer concrètement sur la base des éléments au dossier si le maintien de l’autorité parentale conjointe laisse craindre une détérioration notable du bien de l’enfant (TF 5A_22/2016 du 2 septembre 2016 consid. 4.2). Lorsque les parents sont titulaires, ou devraient l’être, de l’autorité parentale conjointe, on peut exiger d’eux qu’ils fassent preuve d’un minimum d’entente en ce qui concerne les intérêts fondamentaux de l’enfant et qu’ils agissent au moins partiellement en accord. Si ce n’est pas le cas, l’autorité parentale commune se révèle presque obligatoirement un poids pour l’enfant, qui s’alourdit dès que l’enfant peut prendre conscience personnellement du manque d’entente de ses parents. En outre, ce manque peut aussi représenter une menace de dangers, par exemple un défaut de décisions importantes à propos d’un traitement médical nécessaire. L’exercice de l’autorité parentale dépend en principe étroitement du contact personnel avec l’enfant (ATF 142 III 197 consid. 3.5, JdT 2017 II 179, FamPra.ch 2016 p. 772). L’autorité parentale ne doit pas être attribuée en fonction de la « faute »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 JdT 2017 II 179, FamPra.ch 2016 p. 772 ; cf. ég. TF 5A_875/2017 du 6 novembre 2018 consid. 2.5). Il est toutefois envisageable d’accorder l’autorité parentale exclusive au parent à l’origine du blocage, dès lors que l’exercice conjoint de l’autorité parentale exposerait l’enfant à de continuelles interventions de l’autorité, ce qui serait nuisible à son bien (ATF 142 III 197 consid. 3.7, JdT 2017 II 179, FamPra.ch 2016 p. 772). On relèvera que lorsque le blocage est dû à une question de principe et tient peut-être à la personnalité ou à l’histoire de famille des parties, la mise en place de mesures socio-éducatives ou thérapeutiques ne porte que peu de fruits (ATF 142 III 197 consid. 3.7, JdT 2017 II 179, FamPra.ch 2016 p. 772).</w:t>
      </w:r>
    </w:p>
    <w:p>
      <w:r>
        <w:rPr>
          <w:b/>
        </w:rPr>
        <w:t>E. 3.2.2</w:t>
      </w:r>
    </w:p>
    <w:p>
      <w:r>
        <w:t>L'autorité parentale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Das Kindesrecht, Schweizerisches Privatrecht, III/2, 1992, p. 247 ; Meier/Stettler, Droit de la filiation, 5 e éd.., 2014, n. 462, p. 308 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s. et n. 466, p. 311 ; de Weck-lmmelé, Commentaire pratique, Droit matrimonial, 2016, n. 195 ad art. 176 CC). Le juge doit décider à qui cette garde doit être attribuée.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pas se contenter d'attribuer l'enfant au parent qui en a eu la garde pendant la procédure, ce critère jouit ici d'un poids particulier (ATF 136 I 178 consid. 5.3 ; TF 5A_105/2014 du 6 juin 2014 consid. 4.2.1 et les arrêts cités ; TF 5A_847/2015 du 2 mars 2016 consid. 5.2.3 ; TF 5A_714/2015 du 20 avril 2016 consid. 4.2.1.3, FamPra.ch 2016 p. 766, SJ 2016 I 373). En sus, il devra examiner la capacité de chaque parent à favoriser les contacts entre l’enfant et l’autre parent (ATF 142 III 612 consid. 4.4, JdT 2017 II 195 note Sandoz ; ATF 142 III 617 consid. 3.2.4 ; TF 5A_512/2017 du 22 décembre 2017 consid. 5.1).</w:t>
      </w:r>
    </w:p>
    <w:p>
      <w:r>
        <w:rPr>
          <w:b/>
        </w:rPr>
        <w:t>E. 3.3.1</w:t>
      </w:r>
    </w:p>
    <w:p>
      <w:r>
        <w:t>Les premiers juges ont retenu que, même si l'appelant n'avait pas démérité, dans la mesure où il n'avait pas fait preuve d'un total désintérêt vis-à-vis de ses enfants, le conflit conjugal et l'incapacité à communiquer entre les parties, même pour les décisions du quotidien, persistaient hors présence d'une autorité. En effet, faute d'entente entre les parties, la défenderesse a dû être autorisée par la présidente à inscrire l'enfant B.I.________ à l'école [...] en 2015 et cette autorité a également été contrainte d'ordonner au demandeur de remettre les documents d'identité des enfants à l'intimée. En outre, s'agissant du droit de visite de l'appelant, il a toujours été organisé avec l'aide du SPJ. Les premiers juges ont également souligné que même si la situation des parties s'était nettement améliorée, l'appelant avait souvent cherché à dicter le rythme et le ton, en imposant le planning des visites, alors qu'il ne travaillait pas. Les premiers juges ont ainsi considéré, en substance, que dans ces circonstances, afin d'alléger les tensions existantes entre les parties, il apparaissait plus judicieux de confier, en l'état, l'autorité parentale exclusive des enfants à l'intimée. S'il n'avait pas été tenu compte d'un quelconque manque de compétences parentales chez l'une ou l'autre des parties, il fallait toutefois constater qu'à l'heure actuelle, celles-ci n'étaient pas en mesure d'exercer ensemble l'autorité parentale sur leurs trois enfants.</w:t>
      </w:r>
    </w:p>
    <w:p>
      <w:r>
        <w:rPr>
          <w:b/>
        </w:rPr>
        <w:t>E. 3.3.2</w:t>
      </w:r>
    </w:p>
    <w:p>
      <w:r>
        <w:t>L'appelant soutient, en substance, que s'agissant de la scolarisation de B.I.________ en internat à l'école [...], il aurait été mis devant le fait accompli du propre aveu du SPJ selon le procès-verbal de l'audience du 18 août 2015. Il ne se serait pas opposé à cette scolarisation dans le seul but de s'y opposer, mais parce qu'il avait cru comprendre dans ses échanges avec le SPJ qu'il existait une alternative à cette intégration, à savoir que son fils B.I.________ vienne habiter avec lui. De l'avis de l'appelant, la difficulté de créer un lien constructif entre les parents peut s'expliquer par l'existence d'une procédure de divorce, ce que confirmerait le SPJ qui n'aurait cependant jamais pris au sérieux ses mises en garde concernant les mauvais traitements de la part de la mère envers ses enfants, préférant y voir une tentative de sa part pour la discréditer. L'appelant se réfère à cet égard au jugement du Tribunal de police de l'arrondissement de Lausanne du 17 décembre 2018. L'appelant fait encore valoir que la mère des enfants serait intervenue auprès de l'école de C.I.________ afin de faire annuler un entretien qu'il souhaitait avoir avec l'enseignant de sa fille, ce qui démontrerait son incapacité à accepter toute implication de l'appelant à l'égard de ses enfants, et que l'on ne pourrait pas partir du principe que dans le futur, l'intimée lui transmette les informations essentielles relatives aux enfants. Selon l'appelant, la curatelle d'assistance éducative confirmée par la Chambre des curatelles, qui emporterait aujourd'hui son adhésion, devrait également permettre l'instauration d'une autorité parentale conjointe, puisque cette mesure aurait notamment pour objectif de soutenir les parties dans leur rôle de parents.</w:t>
      </w:r>
    </w:p>
    <w:p>
      <w:r>
        <w:rPr>
          <w:b/>
        </w:rPr>
        <w:t>E. 3.5</w:t>
      </w:r>
    </w:p>
    <w:p>
      <w:r>
        <w:t>Dans la mesure où l'appelant s'en prend à l'attribution de la garde à la mère – la détermination du lieu de résidence faisant partie de l'autorité parentale et la garde de fait étant le soin et l'éducation au quotidien –, il y a lieu de relever que, contrairement à ce qu'il soutient, l'intégrité physique des enfants n'est pas en danger auprès de leur mère ensuite du jugement pénal rendu (cf. consid. 3.4.3 supra ) ; il en va de même des angoisses de B.I.________, que le père attribue à la prétendue agressivité de l'intimée, alors même qu'aucun élément ne permet de penser que celle-ci aurait eu des comportements inadéquats envers ses enfants depuis l'été 2015, étant encore relevé que le père est bien malvenu de mentionner l'absence d'expertise effectuée sur son fils, dès lors qu'il n'a jamais encouragé sa prise en charge thérapeutique. Par ailleurs, le développement de B.I.________ est positif au vu du bilan de l'action socio-éducative du SPJ pour l'année 2017, de l'audition de l'assistance sociale le 26 septembre 2018 par les premiers juges et des informations complémentaires relatées le 3 octobre 2019 par ce service. En outre, les enfants ont toujours résidé chez leur mère, qui n'a pas démérité, compte tenu des circonstances difficiles dans lesquelles elle a été amenée à travailler tout en s'occupant de ses trois enfants, dont l'un au moins présente des problèmes de comportement importants, tout en sollicitant de l'aide auprès d'un psychiatre et de l'AEMO. Il faut encore rappeler que lorsque les enfants sont auprès de leur père, ils dorment tous les trois dans la même chambre, le père ayant en outre indiqué qu'il exerçait son droit de visite en France, auprès de sa mère ou de ses sœurs, en raison de ses revenus limités. La situation financière de A.I.________ apparaît du reste comme ambiguë, dès lors qu'il dit vouloir emmener les enfants en vacances dans son pays d'origine alors qu'il manque de moyens pour un exercice plus confortable du droit de visite. Au demeurant, l'appelant ne conteste pas exercer son droit de visite de manière très sporadique, sans prétendre que l'intimée en serait responsable, de sorte qu'on ne peut pas sérieusement envisager qu'il soit en mesure de prendre en charge ses trois enfants au quotidien, surtout s'agissant de B.I.________, qui est un enfant ayant besoin d'un encadrement particulier, à savoir notamment un suivi par un logopédiste et un pédopsychiatre, ainsi que d'un programme scolaire aménagé en fonction de ses difficultés. Il semble à cet égard que le père investisse davantage la relation avec B.I.________ – qu'il voit parfois sans l'accord de l'intimée, ce qui n'est pas possible en l'état, au regard du conflit parental aigu notamment à ce sujet –, au détriment de celle avec ses deux autres enfants. Quoi qu'il en soit, le critère de la stabilité et, accessoirement, le manque de confort des enfants chez leur père préconisent de maintenir l'attribution de la garde de fait à la mère. Il ressort au demeurant du procès-verbal d'audition de B.I.________ que celui-ci – contrairement à ce que soutient le père – ne souffre pas de l'organisation du travail de la mère en rentrant de l'école (cf. chiffre B/d supra ).</w:t>
      </w:r>
    </w:p>
    <w:p>
      <w:r>
        <w:rPr>
          <w:b/>
        </w:rPr>
        <w:t>E. 4.1</w:t>
      </w:r>
    </w:p>
    <w:p>
      <w:r>
        <w:t>L'appelant conteste également le fait que les premiers juges aient dérogé au principe du partage par moitié des avoirs LPP accumulés durant le mariage.</w:t>
      </w:r>
    </w:p>
    <w:p>
      <w:r>
        <w:rPr>
          <w:b/>
        </w:rPr>
        <w:t>E. 4.2</w:t>
      </w:r>
    </w:p>
    <w:p>
      <w:r>
        <w:t>L es nouveaux art. 122 ss CC, qui s’inscrivent dans le chapitre consacré aux effets du divorce, sont applicables aux procès en divorce pendants dès leur entrée en vigueur le 1 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124b al. 2 ch. 1 CC permet toutefois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 le cas, comme en l’espèce, où le conjoint concerné n’a pas encore atteint l’âge règlementaire de la retraite au moment de l’introduction de la procédure de divorce. Comme exemple de motifs de refus de partage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Basler Kommentar, 6 e éd.,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 Komm., Scheidung, 3 e éd, n. 14 ad art. 124b CC). Est ainsi cité le cas d’un époux avocat indépendant disposant d’un très bon troisième pilier, dont l’épouse ne profite pas en raison du régime de la séparation de biens adopté par les parties, alors que cette dernière est employée et devrait partager son deuxième pilier (Geiser, op. cit., n. 19 ad art. 124b CC). Selon le Message du Conseil fédéral concernant la révision du Code civil suisse (partage de la prévoyance professionnelle en cas de divorce), les besoins de prévoyance figurant au ch. 2 de l’art. 124b al. 2 CC comme raison possible de s'écarter du partage par moitié pourraient être inclus dans la situation économique des époux et par conséquent être couverts par le ch. 1. Mais la nouvelle règle du partage des prétentions après la survenance d'un cas de prévoyance pourrait, notamment eu égard aux besoins de prévoyance, entraîner une multiplication des situations inéquitables si aucune exception n'était faite au partage par moitié. Là aussi, le partage est inéquitable lorsque l'un des époux subit des désavantages flagrants par rapport à l'autre conjoint.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Il peut également être justifié de déroger au partage par moitié lorsque les deux époux ont des revenus et des prestations de vieillesse futures comparables, mais ont constitué des avoirs de niveaux très différents durant le mariage du fait qu'ils ont une grande différence d'âge (FF 2013, p. 4371).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Alors que l'avant-projet de modification du Code civil disposait, tout comme l'ancien art. 123 al. 2 CC, que le juge refuse le partage par moitié, en tout ou partie, lorsque celui-ci s'avère manifestement inéquitable (art. 122 al. 2 aCC), le nouvel art. 124b al. 2 CC ne mentionne finalement que le terme inéquitable, ceci afin de laisser une plus grande marge d'interprétation au juge (FF 2013, pp. 4352 et 4370 ; ATF 145 III 56 consid. 5.3.2). Dans son Message, le Conseil fédéral souligne toutefois qu'il conviendra de veiller à ce que l'application de l'art. 124b al. 2 CC ne vide pas de sa substance le principe du partage par moitié (FF 2013, p. 4371), le partage de la prévoyance professionnelle devant, dans l'idéal, permettre aux deux conjoints de disposer d'un avoir de prévoyance de qualité égale (FF 2013, p. 4349). Ces principes ont été conçus pour être appliqués indépendamment de la répartition des tâches convenue durant le mariage (ATF 145 III 56 consid. 5.3.2).</w:t>
      </w:r>
    </w:p>
    <w:p>
      <w:r>
        <w:rPr>
          <w:b/>
        </w:rPr>
        <w:t>E. 4.3</w:t>
      </w:r>
    </w:p>
    <w:p>
      <w:r>
        <w:t>En l'espèce, les premiers juges ont retenu que les avoirs LPP de l'intimée s'élevaient à 54'275 fr. 35 alors que ceux de l'appelant s'élevaient à 15'107 fr. 81, mais que la répartition par moitié serait inéquitable. En effet, lors de son interrogatoire le 26 septembre 2018, l'appelant avait admis avoir effectué des investissements au Cameroun avec son salaire, l'instruction n'ayant cependant pas permis d'établir leur montant exact. Partant l'intimée n'a pas pu conclure à une quelconque prétention de ce chef. Dans ces circonstances, le tribunal a refusé le partage par moitié. Il n'y a pas lieu de s'écarter du jugement à cet égard. L'appelant allègue, sans l'établir et de manière non convaincante, qu'il aurait investi la somme de 5'000 fr. dans deux terrains au Cameroun, mais qu'il n'aurait jamais été inscrit en tant que propriétaire de ces terrains au registre foncier local pour des raisons indépendantes de sa volonté, de sorte que ces investissements devraient être traités comme une moins-value sur un immeuble ou comme un mauvais placement en bourse. Ses déclarations n'ont pas la portée qu'il entend leur donner. Au surplus, dès lors que l'appelant, certes encore en formation, n'a jamais contribué à l'entretien des siens, la solution retenue est d'autant plus équitable.</w:t>
      </w:r>
    </w:p>
    <w:p>
      <w:r>
        <w:rPr>
          <w:b/>
        </w:rPr>
        <w:t>E. 5.1</w:t>
      </w:r>
    </w:p>
    <w:p>
      <w:r>
        <w:t>En définitive, l'appel doit être rejeté et le jugement entrepris confirmé.</w:t>
      </w:r>
    </w:p>
    <w:p>
      <w:r>
        <w:rPr>
          <w:b/>
        </w:rPr>
        <w:t>E. 5.2</w:t>
      </w:r>
    </w:p>
    <w:p>
      <w:r>
        <w:t>Les frais judiciaires de deuxième instance, arrêtés à 600 fr. (art. 63 al. 1 TFJC [tarif des frais judiciaires civils du 28 septembre 2010, BLV 270.11.5]) pour A.I.________, qui succombe (art. 106 al. 1 CPC), seront provisoirement laissés à la charge de l'Etat, l'appelant étant au bénéfice de l'assistance judiciaire (art. 122 al. 1 let. b CPC).</w:t>
      </w:r>
    </w:p>
    <w:p>
      <w:r>
        <w:rPr>
          <w:b/>
        </w:rPr>
        <w:t>E. 5.3</w:t>
      </w:r>
    </w:p>
    <w:p>
      <w:r>
        <w:t>Me Laurent Fischer, conseil d’office de l'appelant, doit être rémunéré pour les opérations réalisées dans le cadre de la procédure de deuxième instance. Dans sa liste des opérations du 20 novembre 2019, il indique avoir consacré 20 heures et 45 minutes à la procédure de deuxième instance et requiert l'allocation de débours forfaitaires à hauteur de 5 %. Néanmoins, compte tenu de la connaissance préalable du dossier, de la nature de la cause et de ses difficultés relatives en fait et en droit ainsi que des opérations effectuées par l'avocat, le temps annoncé est manifestement excessif, étant précisé que la liste des opérations produites se borne à recenser les opérations effectuées, sans indiquer le temps consacré à chacune de celles-ci. Par conséquent, il y a lieu de considérer qu'une indemnité correspondant à 14 heures au total, au tarif horaire de 180 fr. hors TVA ( art. 2 al. 1 let. a RAJ [règlement sur l’assistance judiciaire en matière civile du</w:t>
      </w:r>
    </w:p>
    <w:p>
      <w:r>
        <w:rPr>
          <w:b/>
        </w:rPr>
        <w:t>E. 5.4</w:t>
      </w:r>
    </w:p>
    <w:p>
      <w:r>
        <w:t>Dans sa liste des opérations du 20 décembre 2018, Me Charlotte Iselin, conseil d’office de l’intimée, indique avoir consacré 13 heures et 20 minutes à la procédure d’appel, dont 5 minutes ont été effectuées par une avocate-stagiaire. Elle annonce également des débours forfaitaires à hauteur de 2 % du total de ses opérations. Partant, en considération de la difficulté de la cause ainsi que des opérations effectuées par Me Iselin, il y a lieu d'admettre le temps annoncé. Il s’ensuit que l’indemnité de Me Iselin peut être arrêtée, pour la procédure d’appel, au tarif horaire de 180 fr. (art. 2 al. 1 let. a RAJ) pour les opérations qu’elle a effectuées et de 110 fr. pour les opérations effectuées par son avocate-stagiaire (art. 2 al. 1 let. b RAJ), à 2'394 fr. 15 (2'385 fr. [13 h 15 x 180 fr.] + 9 fr. 15 [5 min. x 110 fr.]), montant auquel il faut ajouter les débours forfaitaires de 47 fr. 90 (2'394 fr. 15 x 2 %) et la TVA de 7,7 % sur le tout, par 188 fr. 05, ce qui donne un total de 2'630 fr. 10.</w:t>
      </w:r>
    </w:p>
    <w:p>
      <w:r>
        <w:rPr>
          <w:b/>
        </w:rPr>
        <w:t>E. 5.5</w:t>
      </w:r>
    </w:p>
    <w:p>
      <w:r>
        <w:t>Dans la mesure de l’art. 123 CPC, les bénéficiaires de l’assistance judiciaire seront tenus au remboursement des frais judiciaires et des indemnités aux conseils d’office mis provisoirement à la charge de l’Etat.</w:t>
      </w:r>
    </w:p>
    <w:p>
      <w:r>
        <w:rPr>
          <w:b/>
        </w:rPr>
        <w:t>E. 5.6</w:t>
      </w:r>
    </w:p>
    <w:p>
      <w:r>
        <w:t>Compte tenu de ce que l'appelant succombe entièrement, celui-ci devra verser à l'intimée la somme de 4'200 fr. à titre de dépens de deuxième instance (art. 7 TDC [tarif des dépens en matière civile du 23 novembre 2010 ; BLV 270.11.6])</w:t>
      </w:r>
    </w:p>
    <w:p>
      <w:r>
        <w:rPr>
          <w:b/>
        </w:rPr>
        <w:t>E. 7</w:t>
      </w:r>
    </w:p>
    <w:p>
      <w:r>
        <w:t>décembre 2010 ; BLV 211.02.03] ), apparaît adéquate au regard des opérations effectuées. L’indemnité d’office due à Me Fischer doit ainsi être arrêtée à 2'520 fr. pour ses honoraires, auquel s'ajoutent 50 fr. 40 de débours (2'520 X 2 % [ art. 3bis al. 1 RAJ, en vigueur depuis le 1 er mai 2019), ainsi que la TVA au taux de 7.7% sur l’ensemble, soit 197 fr. 90 (7.7% x 2'570 fr. 40), pour un total de 2'768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