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306 vom 28. Mai 2020</w:t>
      </w:r>
    </w:p>
    <w:p>
      <w:r>
        <w:t>VD Tribunal cantonal, 2020-05-28, FR</w:t>
      </w:r>
    </w:p>
    <w:p>
      <w:r>
        <w:rPr>
          <w:b/>
        </w:rPr>
        <w:t xml:space="preserve">Quelle: </w:t>
      </w:r>
      <w:r>
        <w:t>https://mcp.opencaselaw.ch/entscheid/vd_findinfo_HC___2020___306</w:t>
      </w:r>
    </w:p>
    <w:p>
      <w:r>
        <w:t>FR: VD_FINDINFO HC / 2020 / 306 du 28 mai 2020</w:t>
      </w:r>
    </w:p>
    <w:p>
      <w:r>
        <w:t>IT: VD_FINDINFO HC / 2020 / 306 del 28 maggio 2020</w:t>
      </w:r>
    </w:p>
    <w:p>
      <w:pPr>
        <w:pStyle w:val="Heading2"/>
      </w:pPr>
      <w:r>
        <w:t>Regeste</w:t>
      </w:r>
    </w:p>
    <w:p>
      <w:r>
        <w:t>DIVORCE, MODIFICATION DES CIRCONSTANCES, OBLIGATION D'ENTRETIEN, ENFANT | 286 al. 2 CC</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faits sur la base des preuves administrées en première instance (JdT 2011 III 43 consid. 2 et les réf. citées ; Jeandin, op. cit., n. 6 ad art. 310 CPC).</w:t>
      </w:r>
    </w:p>
    <w:p>
      <w:r>
        <w:rPr>
          <w:b/>
        </w:rPr>
        <w:t>E. 2.2</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 317 al. 1 CPC ne sont pas réunies (TF 5A_788/2017 du 2 juillet 2018 consid. 4.2.1 et les réf. cit.). En l’espèce, la cause est soumise à la maxime d’office ainsi qu’à la maxime inquisitoire illimitée, dès lors qu’elle concerne le montant de la contribution d’entretien due en faveur d’un enfant mineur. Les pièces produites dans la procédure d’appel sont ainsi recevables.</w:t>
      </w:r>
    </w:p>
    <w:p>
      <w:r>
        <w:rPr>
          <w:b/>
        </w:rPr>
        <w:t>E. 3</w:t>
      </w:r>
    </w:p>
    <w:p>
      <w:r>
        <w:t>L’appelant fait valoir qu’il n’est pas en mesure de travailler à plus de 40% en raison de son état de santé, attesté par plusieurs certificats médicaux, ni donc de faire des recherches d’emploi, et que depuis le 1 er janvier 2018, ses revenus ne lui permettraient pas de couvrir ses charges essentielles sans faire appel à l’aide sociale.</w:t>
      </w:r>
    </w:p>
    <w:p>
      <w:r>
        <w:rPr>
          <w:b/>
        </w:rPr>
        <w:t>E. 3.1.1</w:t>
      </w:r>
    </w:p>
    <w:p>
      <w:r>
        <w:t>Selon l'art. 286 al. 2 CC, si la situation change notablement, le père, la mère ou l'enfant peuvent demander au juge de modifier ou supprimer la contribution d'entretien. Cette modification ou suppression n'est toutefois possible que si les circonstances ayant prévalu lors de la fixation de la contribution ont subi un changement notable et durable. Le fait revêt un caractère nouveau lorsqu'il n'a pas été pris en considération pour fixer la contribution d'entretien dans le jugement ; il n'est en revanche pas besoin d'examiner si les faits nouveaux invoqués pour la justifier étaient ou non prévisibles au jour du premier jugement (ATF 137 III 604 consid. 3.1 ; ATF 131 III 189 consid. 2.7.4). On présume néanmoins que la contribution d'entretien a été fixée en tenant compte des modifications prévisibles, soit de celles qui, bien que futures, sont déjà certaines ou fort probables (TF 5A_562/2011 du 21 février 2012 consid. 4.2, rés. in RMA 2012 p. 300 ; TF 5A_ 56/2015 du 10 septembre 2015 consid. 3.1). La procédure de modification ne doit pas viser à réexaminer ou corriger le jugement, mais à l'adapter aux circonstances nouvelles survenues chez les parents ou chez l'enfant (ATF 137 III 604 consid. 4.1.1 ; ATF 131 III 189 consid. 2.7.4 ; ATF 120 II 177 consid. 3a). Ainsi, le juge de la modification est lié par les constatations de fait sur lesquelles s'est fondé le juge du divorce ou de la séparation, notamment quant aux revenus respectifs des parties au moment du divorce si les parents étaient mariés (TF 5A_685/2007 du 26 février 2008 consid. 2.2 ; ATF 137 III 604 consid. 4.1.1). Pour déterminer si la situation a notablement changé, au point qu'une autre décision s'impose, il faut examiner dans quelle mesure les capacités financières et les besoins respectifs des parties ont évolué depuis le divorce, pour les époux mariés (TF 5A_324/2009 du 25 mars 2010 consid. 2.1 ; ATF 131 III 189 consid. 2.7.4). La proportion entre les pensions et les revenus du débirentier telle qu'arrêtée dans la convention réglant la séparation doit en principe être respectée en cas de modification du jugement de divorce, voire d'une convention en cas de parents non mariés (ATF 108 II 30 consid. 8, JdT 1984 I 255). Le moment déterminant pour apprécier si des circonstances nouvelles se sont produites est la date du dépôt de la demande de modification (ATF 120 II 285 consid. 4b ; ATF 137 III 604 consid. 4.1.1).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5A_562/2011 du 21 février 2012 consid. 4.3, rés. in RMA 2012 p. 300). Cela signifie notamment que, lorsque le conjoint débiteur a de nouvelles charges, il convient de tenir compte également des nouvelles ressources. Le débiteur ne devrait en principe pas pouvoir se prévaloir d'une péjoration de sa situation si, parallèlement à la diminution de ses revenus, ses charges ont diminué dans une proportion similaire, ne conduisant ainsi pas à un changement notable de la situation (Simeoni, in Bohnet/Guillod [éd.], Commentaire pratique, Droit matrimonial, fond et procédure, 2016, n. 13 ad art. 129 CC et les références citées). Lorsque le motif pour lequel la modification est demandée se trouve déjà réalisé au moment de la requête,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 il s'agit ainsi d'un régime d'exception (TF 5A_894/2010 du 15 avril 2011 consid. 6.2., in RSPC 2011 p. 315 ; TF 5A_501/2015 du 12 janvier 2016 consid. 4.2 ; TF 5A_831/2016 du 21 mars 2016 consid. 4.3.1; TF 5A_685/2018 du 15 mai 2019 consid. 5.3.4.1, FamPra.ch 2019 p. 948 ; TF 5A_539/2019 du 14 novembre 2019 consid. 3.3).</w:t>
      </w:r>
    </w:p>
    <w:p>
      <w:r>
        <w:rPr>
          <w:b/>
        </w:rPr>
        <w:t>E. 3.1.2</w:t>
      </w:r>
    </w:p>
    <w:p>
      <w:r>
        <w:t>Selon la jurisprudence, si le certificat médical ne constitue pas un moyen de preuve absolu quant à l'incapacité de travail qui y est constatée, la mise en doute de sa véracité suppose néanmoins des raisons sérieuses (TF 4A_289/2010 du 27 juillet 2010 consid. 3.2 ; TF 1C_64/2008 du 14 avril 2008 consid. 3.4 et les réf. citées ; CACI 29 décembre 2016/722 consid. 3.3.2). Même constatée médicalement, une incapacité de travail ne donne pas encore droit à une rente d'invalidité. Pour que l'on puisse tenir compte d'une telle rente sous l'angle d'un revenu hypothétique, il faut que le droit à l'indemnité soit établi ou, à tout le moins hautement vraisemblable (TF 5A_757/2013 du 14 juillet 2014 consid. 3.2 ; TF 5À_51/2007 du 24 octobre 2007 consid. 4.3.2). Le Tribunal fédéral considère que si aucun élément du dossier ne permet de retenir, au degré de preuve exigé par la jurisprudence, que les troubles dont souffre une partie à la procédure lui donnent droit à une rente d'invalidité, le fait que cette partie n'ait pas adressé de demande de rente ne saurait être à lui seul déterminant et permettre de retenir un revenu hypothétique. L'état de santé doit bien plutôt s'analyser indépendamment d'éventuels droits envers l'assurance-invalidité. Ainsi, une incapacité de travail durable, telle qu'attestée par des certificats médicaux, peut, selon les circonstances, suffire à admettre que l'intéressé ne peut effectivement trouver un emploi (cf. TF 5P.423/2005 du 27 février 2006 consid. 2.2.1 ; TF 5A_836/2015 du 8 avril 2016 consid. 5.2) (CACI 11 septembre 2019/494, consid. 4.2).</w:t>
      </w:r>
    </w:p>
    <w:p>
      <w:r>
        <w:rPr>
          <w:b/>
        </w:rPr>
        <w:t>E. 3.2</w:t>
      </w:r>
    </w:p>
    <w:p>
      <w:r>
        <w:t>L’appelant plaide l’incapacité de travailler, sur la base de certificats médicaux, tous établis par le [...]. Ces certificats font état d'une incapacité de 60%, du 8 février 2019 au 9 janvier 2020, le dernier certificat, daté du 14 novembre 2019, indiquant une incapacité de travail à 60% dès le 15 novembre 2019 jusqu'au 9 janvier 2020. Le rapport médical produit en appel indique, de manière générale, qu'une capacité de travail à 100% ne peut être exigée, même dans un environnement adapté, mais que le patient serait en mesure de reprendre une activité professionnelle à 30% et progressivement envisager une activité à 100%, sans préciser le taux d'incapacité au moment de la rédaction du rapport. On peut toutefois déduire de la formulation de la dernière phrase de ce rapport que l'appelant est toujours actuellement en incapacité de travail, bien qu'une amélioration de sa capacité soit à envisager sérieusement. L'appelant admet une capacité de travail à 40%, ce qu'il y a lieu de retenir sur la base des certificats médicaux produits, à défaut de rapports médicaux contradictoires. L'ensemble des certificats produits va dans le même sens. L'incapacité dure maintenant depuis plus d'une année, ce qui permet de retenir qu'elle est durable, le rapport médical du 21 janvier 2020 parlant du reste d’une reprise de l’activité professionnelle progressive sur le « moyen-long terme ». Sur cette question liée à l'incapacité médicale de l'appelant, les pièces requises par l'intimée ne sauraient être d'une quelconque utilité, raison pour laquelle il y a lieu de renoncer à leur administration en appel, par appréciation anticipée des preuves. Le moment déterminant pour apprécier si des circonstances nouvelles se sont produites est la date du dépôt de la demande de modification (ATF 120 II 285 consid. 4b ; ATF 137 III 604 consid. 4.1.1), déposée en l’espèce le 5 juin 2018. A cette date, l'appelant n'était pas encore en incapacité. Ceci dit, le premier juge reconnaît en page 12 du jugement qu'au moment de la litispendance, la situation du demandeur avait subi un changement depuis l'année 2016, faisant état d'indemnités de l'assurance-chômage venant compléter son salaire pour une activité à 40%, puis de la perception du revenu d'insertion en complément de son salaire. Sans compter encore la naissance d'un deuxième enfant, le [...] 2018, lequel enfant était déjà conçu depuis environ cinq mois au moment de la demande de modification. Sur la base de ces éléments, il y a lieu d'admettre la réalisation de circonstances nouvelles et durables permettant de revoir la situation de l'appelant, dès le dépôt de la demande de modification, soit dès le mois de juin 2018.</w:t>
      </w:r>
    </w:p>
    <w:p>
      <w:r>
        <w:rPr>
          <w:b/>
        </w:rPr>
        <w:t>E. 4</w:t>
      </w:r>
    </w:p>
    <w:p>
      <w:r>
        <w:t>L’appelant conteste la fixation de son minimum vital. Il soutient que certains postes de ses charges incompressibles auraient été sous-évalués, tels notamment sa base mensuelle d’entretien et ses frais de logement, – qui n’auraient pas dû être divisés par moitié car il ne vivrait pas en concubinage – et qu’il aurait fallu comptabiliser ses frais de repas, qui seraient à sa charge puisqu’ils ne sont pas déduit de son salaire.</w:t>
      </w:r>
    </w:p>
    <w:p>
      <w:r>
        <w:rPr>
          <w:b/>
        </w:rPr>
        <w:t>E. 4.1</w:t>
      </w:r>
    </w:p>
    <w:p>
      <w:r>
        <w:t>Lorsque le débirentier vit en concubinage simple, la jurisprudence a admis que la contribution d'entretien peut être déterminée en tenant compte du fait que le concubin du débiteur prend en charge la moitié des frais communs, en particulier de logement, même si cette participation est en réalité moindre (ATF 128 III 159, JdT 2002 I 58 ; TF 5A_625/2007 du 26 mars 2008 consid. 2.3; TF 5P.463/2003 du 20 février 2004 consid. 3.2 ; TF 5P.90/2002 du 1 er juillet 2002 consid. 2b aa, publié in FamPra 2002 p. 813). D'autres arrêts retiennent que c’est la capacité économique du concubin ou du nouvel époux – réelle ou hypothétique – qui détermine la participation de celui-ci aux frais de logement (ATF 137 III 59 consid. 4.2.2, JdT 2011 II 352 ; CACI 17 avril 2012/172). D'autres arrêts mentionnent, dans cette hypothèse, la prise en compte de « frais de logement réduits » (TF 5A_11/2014 du 3 juillet 2014 consid. 4.2.3).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(TF 5A_855/2017 du 11 avril 2018 consid. 3.1). En l’espèce, il est vrai que l’appelant est locataire d’un studio et que sa compagne dispose d’un autre logement. Cela ne signifie pas encore qu’il ne vive pas en concubinage, l’appelant étant d’ailleurs locataire des deux logements. Entendue en qualité de témoin, sa compagne a certes indiqué qu’elle ne voulait pas que l’appelant vive avec elle, compte tenu des difficultés qu’elle avait eues avec son ex-mari, que l’appelant dormait seulement de temps en temps avec elle, une à deux fois par semaine, trois fois si cela était nécessaire, et qu’il restait quand leur enfant était malade. Cela étant, vu les liens entre l’appelant et le témoin, on ne saurait reprocher au premier juge d’avoir écarté ce témoignage, ce d’autant plus que les déclarations du témoin ne sont corroborées par aucun autre élément du dossier. Au contraire, elles apparaissent en contradiction avec les informations données par le SPJ dans son rapport du 18 mai 2018, lequel indique qu’il « vit avec sa nouvelle épouse et la fille de celle-ci dans un appartement de 3.5 pièces et travaille à 100% comme tenancier d’un restaurant de kebab à [...] ». Comme l’a relevé l’appelant, ce rapport était entaché d’erreurs, qui ont cependant été rectifiées par le SPJ, puisque celui-ci a reconnu que l’appelant lui avait indiqué qu’il travaillait à 50% et a précisé avoir été induit en erreur en ce qui concerne l’état civil de l’appelant par le fait que celui-ci utilisait le terme « ma femme » pour parler de sa compagne. Pour le reste, le SPJ a précisé s’être rendu en visite là où l’appelant lui avait déclaré vivre avec sa compagne, tout en gardant son studio, le nom de l’appelant figurant d’ailleurs sur la boîte aux lettres de sa compagne. Quant aux photographies du studio, elles ne sont d’aucun secours à l’appelant, puisqu’elles ne permettent pas de démontrer qu’il y vivrait effectivement. Bien au contraire, elles montrent un logement peu investi. La penderie et les rayonnages de la bibliothèque attenante sont complètement vides et le courrier éparpillé sur le mobilier donne à penser que l’appelant ne s’y rend que pour vider sa boîte aux lettres. Quant au rapport médical nouvellement produit, il ne se prononce nullement sur cette problématique. Pour toutes ces raisons, il y a lieu de suivre l’appréciation du premier juge en ce qui concerne le concubinage de l’appelant et de confirmer par conséquent la prise en compte d’une demi-base mensuelle d’entretien pour couple et de la moitié du loyer de l’appartement qu’il loue avec sa compagne.</w:t>
      </w:r>
    </w:p>
    <w:p>
      <w:r>
        <w:rPr>
          <w:b/>
        </w:rPr>
        <w:t>E. 4.2</w:t>
      </w:r>
    </w:p>
    <w:p>
      <w:r>
        <w:t>La capacité contributive doit être appréciée en fonction des charges effectives du débirentier, étant précisé que seuls les montants réellement acquittés peuvent être pris en compte (ATF 121 III 20 consid. 3a ; TF 5A_277/2009 du 6 juillet 2009 consid. 4.4.2 ; TF 5A_860/2011 du 11 juin 2012 consid. 2.1), à l'exclusion de dépenses hypothétiques dont on ne sait si elles existeront finalement – et à concurrence de quel montant – ni si elles seront en définitive assumées (TF 5A_889/2018 du 15 mai 2019 consid. 3.2.1). En l’espèce, l’appelant se borne à alléguer qu’il prendrait ses repas de midi sans qu’ils soient pris en charge par son employeur, à défaut de quoi ils seraient déduits de son salaire. Cela ne suffit cependant pas pour démontrer l’existence de tels frais, les allégations de l’appelant ne reposant sur aucun justificatif en ce qui concerne le paiement de ses repas sur son lieu de travail et ceux-ci ne ressortant pas davantage des comptes bancaires de l’appelant. Le moyen doit dès lors être rejeté.</w:t>
      </w:r>
    </w:p>
    <w:p>
      <w:r>
        <w:rPr>
          <w:b/>
        </w:rPr>
        <w:t>E. 4.3</w:t>
      </w:r>
    </w:p>
    <w:p>
      <w:r>
        <w:t>S’agissant de l’assurance-maladie obligatoire de l’appelant, le premier juge a retenu une prime mensuelle de 425 fr. 50, subsidiée à hauteur de 100 fr., soit une prime de 325 fr. à la charge de l’appelant. Selon les indications que l’appelant a lui-même fournies dans son mémoire d’appel (all. 19, p. 4), sa prime d’assurance-maladie est intégralement subsidiée. Dès lors que les éventuels subsides publics perçus pour le paiement des assurances maladie doivent être déduits des cotisations d'assurance-maladie (Bastons Bulletti, L’entretien après divorce : méthodes de calcul, montant, durée et limites, SJ 2007 II 77 ss, spéc. p. 86 ; Collaud, Le minimum vital élargi du droit de la famille, RFJ 2005 313, p. 318), il n’y a pas lieu de comptabiliser la prime d’assurance-maladie de l’appelant dans son minimum vital.</w:t>
      </w:r>
    </w:p>
    <w:p>
      <w:r>
        <w:rPr>
          <w:b/>
        </w:rPr>
        <w:t>E. 4.4</w:t>
      </w:r>
    </w:p>
    <w:p>
      <w:r>
        <w:t>Pour le surplus, l’appelant se borne à se prévaloir des charges alléguées dans sa demande de modification de jugement de divorce (cf. all. 29), à l’exception du leasing-emprunt [...], sans indiquer pour quelles raisons il y aurait lieu d’inclure les postes écartés par le premier juge, à savoir l’assurance véhicule, le téléphone et le droit de visite. Sa critique n’étant pas motivée, elle est irrecevable sur ce point.</w:t>
      </w:r>
    </w:p>
    <w:p>
      <w:r>
        <w:rPr>
          <w:b/>
        </w:rPr>
        <w:t>E. 4.5</w:t>
      </w:r>
    </w:p>
    <w:p>
      <w:r>
        <w:t>En définitive, il y a donc lieu de retenir les charges mensuelles suivantes : - ½ base mensuelle d’entretien pour couple 850.00 - ½ loyer appartement [...] 892.50 - frais de transport (abonnement train) 256.00 Total 1'998.50</w:t>
      </w:r>
    </w:p>
    <w:p>
      <w:r>
        <w:rPr>
          <w:b/>
        </w:rPr>
        <w:t>E. 4.6</w:t>
      </w:r>
    </w:p>
    <w:p>
      <w:r>
        <w:t>Sur la base de revenus pour une activité de 40%, complétés par le revenu d’insertion – dont il n’est pas davantage allégué qu’il ne serait plus perçu –, il convient de retenir que l’appelant réalise un revenu mensuel net de 2’716 fr. 80 (1'333 fr. 20 de salaire + 1'383 fr. 60 de RI). Ses charges se montant à 1'998 fr. 50, il bénéficie d’un disponible de 718 fr. 30. Il est dès lors en mesure de verser la pension de 550 fr. par mois prévue par le jugement de divorce en faveur de sa fille C.A.________. Sa demande tendant à la suppression, respectivement la réduction de cette pension, est ainsi infondée.</w:t>
      </w:r>
    </w:p>
    <w:p>
      <w:r>
        <w:rPr>
          <w:b/>
        </w:rPr>
        <w:t>E. 5.1</w:t>
      </w:r>
    </w:p>
    <w:p>
      <w:r>
        <w:t>En conséquence, l’appel doit être rejeté et le jugement confirmé.</w:t>
      </w:r>
    </w:p>
    <w:p>
      <w:r>
        <w:rPr>
          <w:b/>
        </w:rPr>
        <w:t>E. 5.2</w:t>
      </w:r>
    </w:p>
    <w:p>
      <w:r>
        <w:t>Les conditions de l’art. 117 CPC étant réunies, il y lieu d’accorder le bénéfice de l’assistance judiciaire à l’appelant, Me Bertrand Pariat étant désigné en qualité de conseil d’office avec effet au 5 décembre 2019.</w:t>
      </w:r>
    </w:p>
    <w:p>
      <w:r>
        <w:rPr>
          <w:b/>
        </w:rPr>
        <w:t>E. 5.3</w:t>
      </w:r>
    </w:p>
    <w:p>
      <w:r>
        <w:t>Les frais judiciaires de deuxième instance, arrêtés à 740 fr., soit 600 fr pour l’émolument de décision (art. 63 al. 1 TFJC [tarif des frais judiciaires civils du 28 septembre 2010 ; BLV 270.11.5]) et 140 fr. pour les frais d’administration des preuves (rapport médical du [...], art. 95 al. 2 let. c CPC), seront mis à la charge de l’appelant, qui succombe (art. 106 al. 1 CPC), et supportés provisoirement par l’Etat (art. 122 al. 1 let. b CPC), l’appelant plaidant au bénéfice de l’assistance judiciaire.</w:t>
      </w:r>
    </w:p>
    <w:p>
      <w:r>
        <w:rPr>
          <w:b/>
        </w:rPr>
        <w:t>E. 5.4</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et de 110 fr. pour l’avocat stagiaire (art. 2 al. 1 RAJ [règlement du 7 décembre 2010 sur l’assistance judiciaire en matière civile ; BLV 211.02.3]). En l’espèce, Me Bertrand Pariat a indiqué avoir consacré 11,4 heures d’activité à ce dossier, ses débours se montant à 14 fr., TVA incluse. Ce décompte peut être admis, de sorte qu’au tarif horaire de 180 fr., son indemnité doit être arrêtés à 2'210 fr. (2'052 fr. + [2’052 x 7.7% = 158]), plus 14 fr. à titre de débours, soit une indemnité totale de 2'224 francs. Le bénéficiaire de l’assistance judiciaire est, dans la mesure de l’art. 123 CPC, tenue au remboursement des frais de justice et de l’indemnité au conseil d’office provisoirement laissés à la charge de l’Etat. L’assistance judiciaire ne dispense pas du versement des dépens à la partie adverse. En l’espèce, la charge des dépens est évaluée à 2'500 fr. pour chaque partie, de sorte que, compte tenu de ce que les frais – comprenant les frais judiciaires et les dépens (art. 95 al. 1 CPC) – doivent être entièrement mis à la charge de l’appelant, celui-ci versera à l’intimée la somme de 2’500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