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298 vom 17. Juni 2020</w:t>
      </w:r>
    </w:p>
    <w:p>
      <w:r>
        <w:t>VD Tribunal cantonal, 2020-06-17, FR</w:t>
      </w:r>
    </w:p>
    <w:p>
      <w:r>
        <w:rPr>
          <w:b/>
        </w:rPr>
        <w:t xml:space="preserve">Quelle: </w:t>
      </w:r>
      <w:r>
        <w:t>https://mcp.opencaselaw.ch/entscheid/vd_findinfo_HC___2020___298</w:t>
      </w:r>
    </w:p>
    <w:p>
      <w:r>
        <w:t>FR: VD_FINDINFO HC / 2020 / 298 du 17 juin 2020</w:t>
      </w:r>
    </w:p>
    <w:p>
      <w:r>
        <w:t>IT: VD_FINDINFO HC / 2020 / 298 del 17 giugno 2020</w:t>
      </w:r>
    </w:p>
    <w:p>
      <w:pPr>
        <w:pStyle w:val="Heading2"/>
      </w:pPr>
      <w:r>
        <w:t>Regeste</w:t>
      </w:r>
    </w:p>
    <w:p>
      <w:r>
        <w:t>APPRÉCIATION DES PREUVES, ACTE ILLICITE, ENRICHISSEMENT ILLÉGITIME, VENTE, MANIFESTATION DE VOLONTÉ, CHEVAL, EXPERTISE PRÉSENTÉE PAR UNE PARTIE | 41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y a un intérêt digne de protection (art. 59 al. 2 let. a CPC) et portant sur des conclusions supérieures à 10'000 fr., l'appel est recevable.</w:t>
      </w:r>
    </w:p>
    <w:p>
      <w:r>
        <w:rPr>
          <w:b/>
        </w:rPr>
        <w:t>E. 1.3</w:t>
      </w:r>
    </w:p>
    <w:p>
      <w:r>
        <w:t>Le conseil de l’appelante sollicite, dans son courrier d’accompagnement, qu’un délai lui soit imparti pour compléter son appel. Il expose que sa cliente est une dame âgée, qu’il a eu divers problèmes de communication avec elle et que ce n’est qu’à la dernière minute qu’elle l’a instruit de former appel. Selon le Tribunal fédéral (ATF 134 II 244 consid. 2.4), un délai supplémentaire ne peut pas être octroyé pour compléter le recours, ce qui peut s’appliquer par analogie pour le délai d’appel. Par ailleurs, si le délai a été observé, une éventuelle restitution du délai ne peut pas entrer en considération (cf. TF 5A_322/2013 du 7 mai 2013 relatif à l’art. 50 LTF [loi sur le Tribunal fédéral ; RS 173.110]). Il s’ensuit que la requête de l’appelante doit être rejetée.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(JdT 2011 III 43 ; Tappy, op. cit., p. 135).</w:t>
      </w:r>
    </w:p>
    <w:p>
      <w:r>
        <w:rPr>
          <w:b/>
        </w:rPr>
        <w:t>E. 3.1</w:t>
      </w:r>
    </w:p>
    <w:p>
      <w:r>
        <w:t>L’appelante expose tout d’abord que c’est à tort que les premiers juges ont considéré que les parties n’étaient pas liées par un contrat de vente.</w:t>
      </w:r>
    </w:p>
    <w:p>
      <w:r>
        <w:rPr>
          <w:b/>
        </w:rPr>
        <w:t>E. 3.2</w:t>
      </w:r>
    </w:p>
    <w:p>
      <w:r>
        <w:t>En droit suisse des contrats, la question de savoir si les parties ont conclu un accord est soumise au principe de la priorité de la volonté subjective sur la volonté objective (ATF 123 III 35 consid. 2b).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5.2.1 et les références). Le juge doit donc rechercher, dans un premier temps, la réelle et commune intention des parties (interprétation subjective), le cas échéant empiriquement, sur la base d'indices (ATF 132 III 268 consid. 2.3.2 ; ATF 132 III 626 consid. 3.1 p. 632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 2.2 ; TF 4A_508/2016 du 16 juin 2017 consid. 6.2 et les arrêts cités;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4A_508/2016 déjà cité consid. 6.2 et les arrêts cités; TF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 ; ATF 130 III 417 consid. 3.2 et les arrêts cités).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w:t>
      </w:r>
    </w:p>
    <w:p>
      <w:r>
        <w:rPr>
          <w:b/>
        </w:rPr>
        <w:t>E. 3.3</w:t>
      </w:r>
    </w:p>
    <w:p>
      <w:r>
        <w:t>En l’espèce, les premiers juges ont retenu que les parties n’étaient pas liées par un contrat de vente. Ils ont tout d’abord relevé à cet égard que le Tribunal de Grande Instance de [...] avait prononcé la résolution du contrat conclu entre [...] Sàrl et l’appelante. Cela étant, cette dernière ne pouvait pas se prévaloir de ladite résolution pour en déduire, a posteriori , une intention propre de conclure un contrat de vente directement avec les intimés. Il ressortait des éléments du dossier et en particulier des déclarations de l’appelante à l’expert [...], qu’elle avait répondu à une annonce de la société [...] Sàrl qui proposait un cheval à la vente et qu’elle était, à tout le moins initialement, partie à un contrat de vente avec cette société et non avec les intimés. Par ailleurs, l’appelante ne pouvait pas non plus prétendre s’être substituée ultérieurement à [...] Sàrl dans ses relations avec les intimés. Elle s’était effectivement acquittée de deux acomptes de 150'000 FF chacun auprès des intimés mais avait indiqué se substituer à l’acheteur pour le versement et précisé que le solde de 125'000 FF serait payé par V.________, comme prévu dans les accords. Enfin, les premiers juges ont considéré que le fait que [...] Sàrl ne soit pas entrée en possession du cheval ne devait pas conduire à une appréciation différente des rapports contractuels entre les différentes parties : d’une part, l’appelante avait admis que le cheval devait rester en pension chez les intimés et, d’autre part, le protocole d’accord du 13 décembre 1999 corroborait le fait qu’il y avait eu un contrat de vente et un transfert de propriété entre les intimés et [...] Sàrl, puis une cession des parts du cheval selon la clé de répartition établie. Le fait que, selon ce protocole d’accord, la société ait rétrocédé une quote-part de 9% aux intimés n’avait aucune incidence, dès lors que ces derniers n’avaient aucune participation aux intérêts de dite société. L’appelante expose qu’il n’y a jamais eu de contrat de vente valable entre elle et [...] Sàrl. Ce contrat a été résolu – avec effet ex tunc – par décision définitive et exécutoire du Tribunal de Commerce de [...] du 19 juin 2002. Pourtant, l’appelante estime que c’est à tort que les premiers juges ont retenu qu’il ne résultait pas de cette invalidation qu’elle avait conclu par la suite un contrat de vente avec les intimés. L’appelante ne conteste pas que la relation contractuelle entre elle et [...] Sàrl a été invalidée, comme l’a retenu la Cour civile. C’est donc en vain qu’elle revient en détails sur la décision du Tribunal de Grande Instance de [...]. L’intéressée estime toutefois que « l’analyse économique » des transactions démontre de manière irréfutable que la vente a été conclue de façon directe entre elle et les intimés. Elle se limite à exposer que les deux paiements dont elle s’est acquittée en mains de ces derniers démontrent qu’un contrat de vente, à tout le moins tacite, a été conclu entre les parties, sans toutefois développer cet argument. Ce grief est mal fondé. En effet, comme indiqué par les premiers juges, l’appelante ne peut pas prétendre s’être substituée ultérieurement à [...] Sàrl dans le contrat avec les intimés. Elle n’apporte d’ailleurs aucun élément permettant d’expliquer pourquoi, lorsqu’elle s’est acquittée des deux acomptes de 150'000 FF chacun auprès des intimés, elle a expressément indiqué se substituer à l’acheteur pour le versement et a précisé que le solde de 125'000 FF serait payé par V.________ comme prévu dans les accords. Il résulte de ce qui précède qu’aucun contrat de vente n’a été conclu entre les parties, comme l’ont retenu à juste titre les premiers juges, dont l’appréciation, pertinente et convaincante, doit être confirmée.</w:t>
      </w:r>
    </w:p>
    <w:p>
      <w:r>
        <w:rPr>
          <w:b/>
        </w:rPr>
        <w:t>E. 4.1</w:t>
      </w:r>
    </w:p>
    <w:p>
      <w:r>
        <w:t>L’appelante fait ensuite valoir que les premiers juges auraient dû examiner, s’ils entendaient nier l’existence d’un contrat de ventre entre les parties, la possibilité d’un acte illicite des intimés à son encontre.</w:t>
      </w:r>
    </w:p>
    <w:p>
      <w:r>
        <w:rPr>
          <w:b/>
        </w:rPr>
        <w:t>E. 4.2</w:t>
      </w:r>
    </w:p>
    <w:p>
      <w:r>
        <w:t>Aux termes de l'art. 41 al. 1 CO (Code suisse des obligations du 30 mars 1911; RS 220),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JdT 2006 I 258, SJ 2006 p. 181). 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Erfolgsunrecht ), ou de la violation d'une norme de comportement destinée à protéger le lésé ( Schutznorm ) contre le type de dommage qu'il subit (illicéité du comportement, Verhaltensunrecht ) (Werro, CR CO I, n. 72 ad art. 41 CO et les références citées). L'illicéité peut être le fait d'une action ou d'une omission (Werro, CR CO I, n. 77 ad art. 41 CO et les références citées). Conformément à l'art. 8 CC, il revient au lésé de prouver l'atteinte à un droit absolu ou la violation de la norme de comportement le protégeant. Sur cette base, le juge appréciera le caractère illicite de l'acte ou de l'omission (Werro, CR CO I, n. 78 ad art. 41 CO).</w:t>
      </w:r>
    </w:p>
    <w:p>
      <w:r>
        <w:rPr>
          <w:b/>
        </w:rPr>
        <w:t>E. 4.3</w:t>
      </w:r>
    </w:p>
    <w:p>
      <w:r>
        <w:t>En l’espèce, l’appelante soutient que le comportement illicite des intimés a consisté à taire l’existence de défauts graves affectant le cheval dont ceux-ci avaient connaissance. Elle fonde son raisonnement sur les conclusions de l’expertise privée [...], qui a retenu que la fracture de l’ischion subie par le cheval était antérieure au mois de juin 1998 et qu’il était impossible, dans les conditions d’un gardiennage sérieux, que le gardien du cheval n’ait pas remarqué la boiterie du postérieur droit telle qu’elle s’est manifestée dans les quinze jours ou dans les semaines qui ont suivi ladite fracture. Or, u ne expertise privée n'est ni une expertise au sens des art. 183 ss CPC, ni une pièce ; elle ne constitue qu'une allégation de partie (ATF 141 III 433 consid. 2.5 ; ATF 140 III 24 consid. 3.3.3, JdT 2016 II 308 ; ATF 132 III 83 consid. 3.6 ; TF 4A_286/2011 du 30 août 2011 consid. 4, RSPC 2012 p. 116). Elle n’a pas la même valeur qu'une expertise judiciaire (ATF 125 V 351 consid. 3c). En effet, dès lors qu’elle n’est en principe produite que si elle est favorable au mandant et que son auteur est dans un rapport de fidélité avec le mandant qui le rémunère, elle doit être appréciée avec retenue (ATF 141 IV 369 consid. 6.2). En l’occurrence, l’appelante admet que l’expert [...] n’est pas parvenu aux mêmes conclusions que les auteurs de l’expertise judiciaire. Ceux-ci ont en effet relevé q u’il était impossible de déterminer à quel moment le cheval s’était fracturé l’ischion droit, qu’en particulier, il n’y avait aucun élément pouvant faire penser que cette blessure se soit produite avant juin 1998, que les conclusions de l’expert [...], qui soutenait le contraire, étaient erronées et que la cause principale de l’arrêt anticipé de la carrière du cheval était dû à une blessure des ligaments suspenseurs et du tendon perforant constatée en automne 2000, ce type de blessure étant très fréquent chez les chevaux de course et chez les trotteurs en particulier. Sur la base de cette expertise judiciaire, dont la valeur probante l’emporte sur celle de l’expertise privée, c’est en vain que l’appelant reproche aux premiers juges de n’avoir pas considéré que les intimés lui avaient caché l’existence d’un défaut chez l’animal. D’ailleurs, l’expert privé [...], auquel se réfère également l’appelante, a lui-même retenu que l a fracture en question – qui selon lui se serait produite avant mars 1999 mais sans toutefois pouvoir en déterminer le moment exact –, « a pu aussi avoir lieu alors que le cheval n’était pas sous le contrôle direct » des intimés, qu’il était « connu que dans certains cas, ce type de fracture [était] susceptible de rester inconnu du propriétaire ou du gardien du cheval » et qu’il n’était pas d’accord avec l’affirmation selon laquelle il ne faisait aucun doute que les intimés connaissaient le défaut du cheval. Partant, on ne discerne aucun acte illicite dans le comportement des intimés, tel que mis en cause par l’appelante. Le moyen est donc mal fondé et doit être rejeté.</w:t>
      </w:r>
    </w:p>
    <w:p>
      <w:r>
        <w:rPr>
          <w:b/>
        </w:rPr>
        <w:t>E. 5</w:t>
      </w:r>
    </w:p>
    <w:p>
      <w:r>
        <w:t>L’appelante reproche ensuite aux premiers juges d’avoir omis d’aborder la problématique juridique de l’enrichissement illégitime. Selon elle, les intimés auraient été enrichis sans cause par les versements qu’elle a effectués en leur faveur. Cet enrichissement s’étendrait à la totalité de ce que les intimés ont reçu de l’appelante. L’appelante fonde son argumentation sur le fait que les premiers juges auraient, selon elle, suivi la position des intimés consistant à dire, d’une part, qu’il n’y avait pas de contrat de vente entre les parties et, d’autre part, qu’elle n’avait jamais été copropriétaire du cheval litigieux. L’appelante a tort. Si les premiers juges n’ont pas retenu l’existence d’un contrat de vente entre les parties (cf. consid. 3.3 supra ), ils ont toutefois admis qu’il y avait eu un contrat de vente et un transfert de propriété entre les défendeurs et [...] Sàrl, puis une cession des parts du cheval selon la clé de répartition établie, l’appelante, les intimés et U.________ devenant alors copropriétaires de l’animal. Il est également constant que les parties s’étaient entendues sur le fait que le cheval resterait en pension chez les intimés. L’appelante a admis l’existence d’un tel contrat. Le prix de la pension était fixé à 1'400 fr. par mois, ferrage et entraînement compris. Or, la pension était financée par les propriétaires du cheval en proportion de leur quote-part, soit 81% pour l’appelante, 9% pour l'Ecurie [...] et 10% pour U.________. Compte tenu de ces éléments, c’est à tort que l’appelante prétend que les intimés auraient été enrichis sans cause. Mal fondé, le moyen doit donc être rejeté.</w:t>
      </w:r>
    </w:p>
    <w:p>
      <w:r>
        <w:rPr>
          <w:b/>
        </w:rPr>
        <w:t>E. 6</w:t>
      </w:r>
    </w:p>
    <w:p>
      <w:r>
        <w:t>Enfin, l’appelante fonde une série d’autres griefs sur, notamment, les dispositions relatives au contrat de vente internationale (Convention des Nations Unies sur les contrats de vente internationale de marchandise du 11 avril 1980, CVIM ; RS 0.221.211.1) et aux vices du consentement (art. 28 et 31 CO). Il n’y a pas lieu d’examiner ces moyens, qui reposent sur la prémisse de l’existence d’un contrat de vente entre les parties, alors que tel n’est pas le cas (cf. consid. 3.3 supra ).</w:t>
      </w:r>
    </w:p>
    <w:p>
      <w:r>
        <w:rPr>
          <w:b/>
        </w:rPr>
        <w:t>E. 7</w:t>
      </w:r>
    </w:p>
    <w:p>
      <w:r>
        <w:t>Il résulte de ce qui précède que l’appel, manifestement mal fondé, doit être rejeté selon l’art. 312 al. 1 CPC , et le jugement entrepris confirmé. Les frais judiciaires de deuxième instance, arrêtés à 2'711 fr. (art. 62 al. 1 TFJC (tarif du 28 septembre 2010 des frais judiciaires civils ; BLV 270.11.5), seront mis à la charge de l’appelante, qui succombe (art. 106 al. 1 CPC). Il n’y a pas lieu d’allouer des dépens aux intimés, ceux-ci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