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197 vom 7. April 2020</w:t>
      </w:r>
    </w:p>
    <w:p>
      <w:r>
        <w:t>VD Tribunal cantonal, 2020-04-07, FR</w:t>
      </w:r>
    </w:p>
    <w:p>
      <w:r>
        <w:rPr>
          <w:b/>
        </w:rPr>
        <w:t xml:space="preserve">Quelle: </w:t>
      </w:r>
      <w:r>
        <w:t>https://mcp.opencaselaw.ch/entscheid/vd_findinfo_HC___2020___197</w:t>
      </w:r>
    </w:p>
    <w:p>
      <w:r>
        <w:t>FR: VD_FINDINFO HC / 2020 / 197 du 7 avril 2020</w:t>
      </w:r>
    </w:p>
    <w:p>
      <w:r>
        <w:t>IT: VD_FINDINFO HC / 2020 / 197 del 7 aprile 2020</w:t>
      </w:r>
    </w:p>
    <w:p>
      <w:pPr>
        <w:pStyle w:val="Heading2"/>
      </w:pPr>
      <w:r>
        <w:t>Regeste</w:t>
      </w:r>
    </w:p>
    <w:p>
      <w:r>
        <w:t>ENFANT, GARDE DE FAIT, OBLIGATION D'ENTRETIEN, DÉLAI RAISONNABLE, REVENU HYPOTHÉTIQUE | 285 CC, 298 al. 2ter CC</w:t>
      </w:r>
    </w:p>
    <w:p>
      <w:pPr>
        <w:pStyle w:val="Heading2"/>
      </w:pPr>
      <w:r>
        <w:t>Erwägungen</w:t>
      </w:r>
    </w:p>
    <w:p>
      <w:r>
        <w:rPr>
          <w:b/>
        </w:rPr>
        <w:t>E. 1</w:t>
      </w:r>
    </w:p>
    <w:p>
      <w:r>
        <w:t>L’appel est recevable contre les décisions finales de première instance, dans les causes patrimoniales pour autant que la valeur litigieuse, au dernier état des conclusions devant l’autorité inférieure, soit de 10'000 fr. au moins (art. 308 al. 1 let. a et al. 2 CPC). Formé en temps utile (art. 311 al. 1 CPC) par une partie qui y a un intérêt (art. 59 al.</w:t>
      </w:r>
    </w:p>
    <w:p>
      <w:r>
        <w:rPr>
          <w:b/>
        </w:rPr>
        <w:t>E. 2</w:t>
      </w:r>
    </w:p>
    <w:p>
      <w:r>
        <w:t>let. a CPC),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Dès lors que l’objet du présent litige concerne un enfant mineur, les pièces produites par l’appelante à l’appui de son appel le 4 octobre 2019 et celles produites par l’intimé à l’appui de sa réponse le 24 janvier 2020 sont recevables en appel, au regard de la maxime inquisitoire applicable en l’espèce. En revanche, les pièces complémentaires produites par l’appelante le 4 février 2020 sont irrecevables, dès lors que la juge déléguée avait informé les parties, par avis du 2 février 2020, que la cause était gardée à juger. Cela étant, à supposer recevables, ces pièces ne sont de toute manière pas utiles à la résolution du litige, au vu du sort de l’appel.</w:t>
      </w:r>
    </w:p>
    <w:p>
      <w:r>
        <w:rPr>
          <w:b/>
        </w:rPr>
        <w:t>E. 3.1</w:t>
      </w:r>
    </w:p>
    <w:p>
      <w:r>
        <w:t>Dans un premier grief, l’appelante fait valoir qu’une garde exclusive en sa faveur aurait dû être prononcée en lieu et place d’une garde alternée.</w:t>
      </w:r>
    </w:p>
    <w:p>
      <w:r>
        <w:rPr>
          <w:b/>
        </w:rPr>
        <w:t>E. 3.2</w:t>
      </w:r>
    </w:p>
    <w:p>
      <w:r>
        <w:t>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 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w:t>
      </w:r>
    </w:p>
    <w:p>
      <w:r>
        <w:rPr>
          <w:b/>
        </w:rPr>
        <w:t>E. 3.3</w:t>
      </w:r>
    </w:p>
    <w:p>
      <w:r>
        <w:t>En l’espèce, le premier juge a considéré qu'une garde alternée pouvait être prononcée jusqu'à l'entrée à l'école de l'enfant. Les domiciles des parties étant trop éloignés, la garde de fait serait confiée à la mère dès l'entrée à l'école. Le premier juge a relevé que les parties rencontraient certes encore des difficultés à communiquer sur certains sujets, mais qu'elles parvenaient à s'entendre concernant l'enfant. L'appelante a déclaré qu'elle voyait l'enfant heureuse en rentrant de chez son père. Par ailleurs, le SPJ a relevé que les deux parties possédaient de bonnes compétences éducatives et qu'une garde alternée progressive était à préconiser. Ainsi, dans l'intérêt de l'enfant, il convenait de mettre en place une garde alternée du dimanche soir au dimanche soir, étant précisé que les déplacements sont à la charge du père. Le premier juge a également relevé qu'une telle garde alternée permettrait de réduire le nombre de trajets que devait effectuer l'enfant. L'appelante expose que les difficultés de communication sont encore très importantes, preuve en est qu'il existe encore une plainte pénale pendante déposée par elle contre l’intimé. De plus, celui-ci travaille à temps complet et ne peut pas s'occuper de sa fille durant la journée, alors que l'appelante dispose du temps nécessaire. Ces arguments doivent être rejetés. En premier lieu, c'est à juste titre que le magistrat a relevé qu'il existait encore des difficultés de communication entre les parties ; toutefois, contrairement à ce que semble invoquer l'appelante, une entente parfaite entre les parties n’est pas exigée, à défaut de quoi une garde partagée ne pourrait être que très rarement prononcée. Il faut plutôt relever, comme le retient la décision entreprise, que la communication entre les parties est suffisante pour assurer le bien-être de l'enfant, notamment lors du passage de ce dernier. Quant au fait que le père travaille à temps complet, il faut relever d'une part que l'appelante sera appelée – au vu du revenu hypothétique qui lui est imputé – à retrouver une activité à bref délai (cf. consid. 5.3 infra ), et d'autre part que jusqu'à présent le père avait l'enfant du mardi au jeudi une semaine sur deux (alternativement avec le week-end) et que cela se passait très bien. Enfin, le fait que, compte tenu de l’éloignement actuel des domiciles des parents, la garde sur H.________ sera exercée exclusivement par la mère dès l’entrée à l’école de l’enfant ne fait pas obstacle à l’instauration d’une garde alternée d’ici là, ce changement de régime ayant par ailleurs été décidé « sous réserve de modifications telles que le domicile des parties ». Le moyen est donc mal fondé et doit être rejeté.</w:t>
      </w:r>
    </w:p>
    <w:p>
      <w:r>
        <w:rPr>
          <w:b/>
        </w:rPr>
        <w:t>E. 4</w:t>
      </w:r>
    </w:p>
    <w:p>
      <w:r>
        <w:t>L’appelante reproche ensuite au premier juge d’avoir retenu que dans la mesure où l’enfant sera une semaine sur deux chez son père dès l’entrée en force de la décision, il convenait de réduire par moitié les frais de garde puisqu’elle ne devra se rendre à la crèche que quatre fois par mois. Elle expose que si l’enfant est inscrite deux jours par semaine dans une garderie, ces frais lui seront facturés même si la semaine suivante elle est chez son père. Elle produit en appel une attestation de la crèche à ce sujet (pièce 2). Il ressort en effet de cette attestation, datée du 18 septembre 2019, que les frais de garde sont dus dans leur totalité même en cas de garde alternée. Par conséquent, H.________ allant à la crèche deux fois par semaine le lundi et le vendredi, ces deux jours seront facturés et dus chaque semaine. En revanche, ladite attestation indique que le montant des repas sera déduit de la facture en fonction des jours passés par l’enfant chez son père. Or, i l résulte du formulaire d’inscription de l’enfant du 1 er novembre 2018 (pièce 13 produite en appel) que le tarif de base est de 23 fr. 40 par jour de fréquentation et que le repas coûte 7 francs. H.________ étant une semaine sur deux chez son père dès l’entrée en force du jugement, les frais de crèche s’élèveront depuis lors – en tenant compte de huit jours au tarif de base mais de quatre repas – à 215 fr. 20 ([23 fr. 40 x 8 j.] + [7 fr. x 4 j.]), ce qui constitue une différence de 93 fr. 60 par rapport au montant (121 fr. 60) retenu par le premier juge à ce titre. Cela augmentera d’autant les coûts directs mensuels de l’enfant dès l’entrée en force du jugement, qui s’élèveront en tout à 719 fr. 40 (400 fr. + 48 fr. 10 + 11 fr. 10 + 345 fr. +215 fr. 20 – 300 fr. [allocations familiales]), ceux relatifs aux autres périodes arrêtées par le premier juge – non contestés – pouvant être confirmés. Le montant retenu ci-dessus de 719 fr. 40 exerce une influence sur le montant de l’entretien convenable de l’enfant. Ceci ne veut toutefois pas encore dire que l’on arrivera à un résultat différent de celui retenu par le premier juge s’agissant du montant de la contribution due pour l’entretien de l’enfant (cf. consid. 7 infra ).</w:t>
      </w:r>
    </w:p>
    <w:p>
      <w:r>
        <w:rPr>
          <w:b/>
        </w:rPr>
        <w:t>E. 5.1</w:t>
      </w:r>
    </w:p>
    <w:p>
      <w:r>
        <w:t>L’appelante soutient encore que c’est à tort que le premier juge lui a imputé un revenu hypothétique.</w:t>
      </w:r>
    </w:p>
    <w:p>
      <w:r>
        <w:rPr>
          <w:b/>
        </w:rPr>
        <w:t>E. 5.2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5A_806/2016 du 22 février 2017 consid. 4.1 et les références, publié in FamPra.ch 2017 p. 588; TF 5A_235/2016 du 15 août 2016 consid. 4.1; TF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Lorsque l’un des parents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L'examen des exigences à remplir pour qu'on puisse considérer qu’il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 (Juge délégué CACI 18 décembre 2018/711) ; un délai de quatre mois a été jugé bref mais non arbitraire (TF 5A_137/2017 du 29 juin 2017 consid. 6.3) ; le Tribunal fédéral a également confirmé un délai d'adaptation de six mois (TF 5A_93/2017 du 3 février 2017 consid. 3.2.2), voire de quinze mois pour une épouse qui s'était consacrée aux soins et à l'éducation des enfants, vu notamment la situation financière favorable de l'ex-époux (TF 5A_830/2018 du 21 mai 2019 consid. 3.4).</w:t>
      </w:r>
    </w:p>
    <w:p>
      <w:r>
        <w:rPr>
          <w:b/>
        </w:rPr>
        <w:t>E. 5.3</w:t>
      </w:r>
    </w:p>
    <w:p>
      <w:r>
        <w:t>En l’espèce, le premier juge a retenu qu’en 2017, l’appelante travaillait à 40% et réalisait un revenu mensuel net de 2'100 fr., ce qui n’est pas contesté. Dans la mesure où l’enfant était désormais deux jours par semaine à la crèche, l’appelante était en mesure de travailler à 40% et de percevoir un salaire au moins équivalent. Sachant que son employeur actuel refusait de lui augmenter ses heures de travail, il lui appartenait de trouver un autre emploi, soit un poste de caissière dans un autre magasin ou dans un autre lieu proche de [...]. Il se justifiait ainsi de lui imputer un revenu hypothétique de 2'100 fr. par mois. L’appelante expose qu’elle est rémunérée à l’heure et que ses horaires de travail sont variables de semaine en semaine, de sorte que même si elle parvenait à trouver un autre emploi, ce serait inconciliable avec l’activité qu’elle occupe actuellement. De plus, elle n’a pas de qualification autre que celle d’assistante du commerce de détail, ni d’autre expérience professionnelle, ce qui rend les recherches d’un autre emploi difficiles. A cela s’ajoute qu’elle ne dispose pas du permis de conduire et que la région de [...] n’est pas un grand centre urbain. Enfin, l’appelante explique que même si une garde alternée était prononcée, elle aurait sa fille une semaine sur deux, de sorte qu’elle ne pourrait pas exercer deux activités professionnelles, dont une – celle actuelle – avec des horaires irréguliers. Les arguments de l’appelante sont mal fondés. Tout d’abord, force est de constater qu’elle fait une mauvais lecture du jugement entrepris, puisque celui-ci ne lui impose pas de trouver un autre emploi en sus de celui qu’elle occupe actuellement, mais éventuellement d’en trouver un autre à un taux d’occupation de 40%, dès lors que son employeur a refusé (en l’état) de lui augmenter son taux de travail, lequel peut varier, compte tenu des horaires irréguliers, entre 20 et 40% selon les semaines. Ainsi, elle aura loisir de travailler à 40% les semaines où H.________ est chez son père et lorsque l’enfant est chez elle, mais prise en charge par la crèche. Le jugement retient également à juste titre que l’appelante n’est pas qualifiée, ne disposant que d’une formation d’assistante du commerce de détail, et ne lui impose pas un revenu supérieur à ses qualifications, mais se base sur un emploi qu’elle avait précédemment occupé dans le même secteur d’activités. Ensuite, le fait que l’appelante ne possède aucun CFC n’est pas un obstacle en soi pour trouver un autre emploi dans la vente, au vu de l’expérience dont elle dispose dans ce domaine, comme cela ressort d’ailleurs de ses recherches d’emploi (cf. pièce 8 produite en appel). En outre, on ne saurait suivre l’argument de l’appelante selon lequel le fait qu’elle n’a pas de permis de conduire ne lui permettrait pas de trouver un travail ailleurs qu’à [...], où il n’y aurait, selon ses dires, qu’une petite épicerie, mis à part la [...]. On relèvera à ce propos qu’il est tout à fait envisageable que l’appelante se déplace, le cas échéant, avec les moyens de transports publics, notamment avec le train, des localités plus grandes telles que Bulle ou même Montreux étant facilement accessibles en train (avec un temps de parcours d’environ 1 heure depuis la gare de [...] et un train toutes les heures [cf. https://www.sbb.ch/fr/horaire.html]). L’intéressée a du reste effectué une offre d’emploi à [...] (cf. pièce 8 produite en appel). Un éventuel éloignement de son lieu de travail ne serait par ailleurs pas incompatible avec la prise en charge de sa fille, puisque le père de l’appelante et la compagne de ce dernier habitent également à [...] et que selon ce qu’elle a allégué en première instance, elle peut compter sur sa famille pour l’aider (cf. all. 42 : « A la séparation des parties, la demanderesse a été accueillie chez son père à [...] où elle a l’entier de son cercle familial pour la soutenir »). Les contraintes d’horaires associées à son emploi actuel (l’appelante ayant affirmé travailler même jusqu’à 20h00 [all. 149]) ne l’ont d’ailleurs pas empêchée de s’occuper de sa fille, vraisemblablement avec l’aide de ses proches, lorsque celle-ci n’est pas à la crèche. En définitive, il est donc attendu de l’appelante, qui a 25 ans et est en bonne santé, qu’elle réalise, pour un travail à un taux d’activité de 40%, un salaire mensuel de 2'100 fr., comme l’a retenu à juste titre le premier juge. A elle de s’organiser pour le faire, soit en augmentant ses heures pour le même employeur     – ce qui ne paraît en l’état pas possible –, soit en trouvant un autre travail, pour la différence de salaire (2'100 fr. – 1'454 fr.) ou pour la totalité du salaire attendu (2'100 fr.). Le jugement entrepris ne prévoit pas de délai d’adaptation et ne fournit aucune motivation à cet égard. L’intimé expose que dans ses écritures de première instance, il avait invoqué le fait que l’appelante devait augmenter ses revenus, de sorte que cette dernière avait disposé de suffisamment de temps pour faire ses recherches d’emploi dans ce sens ; l’intimé partait toutefois du principe que l’appelante avait travaillé à 60% durant la vie commune et qu’il lui était possible d’obtenir un tel taux auprès du même employeur (cf. duplique, p. 6), comme il le prétend également en appel. Or, il a été retenu par le premier juge un revenu hypothétique pour l’appelante fondé sur un taux non pas de 60% mais de 40%, soit correspondant au taux actuel (ou proche de celui-ci [cf. let. C/13.1 supra ]), de sorte que l’argument de l’intimé tombe à faux. L’appelante n’est d’ailleurs pas restée inactive, puisqu’il est admis qu’elle a sollicité son employeur dans le but d’augmenter son taux d’activité et de pouvoir effectuer des horaires plus réguliers. Pour le reste, r ien ne justifie de lui refuser tout délai d’adaptation (même bref) pour la reprise d’un nouvel emploi ou l’augmentation de son activité courante. I l est constant que l’appelante ne peut, en l’état, étendre son activité dans son poste actuel. A cela s’ajoute qu’il n’apparaît pas a priori plus aisé pour elle d’augmenter son travail – de quelques heures seulement par semaine – plutôt que de trouver un nouvel emploi pour la totalité du salaire attendu. Enfin, il y a lieu de considérer que le – faible – besoin d’emploi dans la région considérée (Pays-d’Enhaut) nécessite que l’intéressée étende ses recherches ailleurs. Partant, au regard de l’ensemble des circonstances et en s’inspirant de la jurisprudence susmentionnée, un délai d’adaptation échéant le 31 août 2020 apparaît adéquat. Le grief de l’appelante doit donc être partiellement admis, en ce sens que le revenu hypothétique de 2'100 fr. net par mois retenu par le premier juge et confirmé en appel lui sera imputé à compter du 1 er septembre 2020. Par conséquent, le revenu moyen net de l’appelante s’élève à 1'454 fr. 85 jusqu’à cette date. Il s’ensuit que le manco de l’appelante, compte tenu de ses charges par 2'665 fr. 45, est de 1'210 fr. 60 (1454 fr. 85 – 2665 fr. 45) jusqu’au 31 août 2020 et de 565 fr. 45 (2'100 fr. – 2'665 fr. 45) dès le 1 er septembre 2020. La prise en compte de ce déficit ne veut toutefois pas encore dire, comme on vient de le relever en ce qui concerne les coûts directs de l’enfant (cf. consid. 4 supra ), que l’on arrivera à un résultat différent de celui retenu dans le jugement s’agissant du montant de la contribution d’entretien due en faveur de l’enfant (cf. consid. 7 infra ).</w:t>
      </w:r>
    </w:p>
    <w:p>
      <w:r>
        <w:rPr>
          <w:b/>
        </w:rPr>
        <w:t>E. 6</w:t>
      </w:r>
    </w:p>
    <w:p>
      <w:r>
        <w:t>L'appelante critique en outre certaines charges qui ont été retenues dans le budget de l’intimé, soit ses frais de transport, ses frais médicaux non remboursés et sa prime d’assurance-maladie.</w:t>
      </w:r>
    </w:p>
    <w:p>
      <w:r>
        <w:rPr>
          <w:b/>
        </w:rPr>
        <w:t>E. 6.1.1</w:t>
      </w:r>
    </w:p>
    <w:p>
      <w:r>
        <w:t>S’agissant tout d’abord des frais de transport, l’appelante soutient que l’intimé pourrait se rendre à son travail en transports publics plutôt qu’en voiture, de sorte que c’est le prix de l’abonnement en transports publics qui devrait être retenu.</w:t>
      </w:r>
    </w:p>
    <w:p>
      <w:r>
        <w:rPr>
          <w:b/>
        </w:rPr>
        <w:t>E. 6.1.2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TF 5A_703/2011 du 7 mars 2012 consid. 4.2). Sont pris en compte les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Il convient de tenir compte de 21,7 jours ouvrables par mois (Juge délégué CACI 15 août 2018/467). Le forfait de 70 ct. par kilomètre comprend non seulement l'amortissement, mais également les assurances, de sorte qu'il n'y a pas lieu d'ajouter un poste supplémentaire pour le coût de ces assurances (CACI 12 juin 2017/228 ; Juge délégué CACI 30 août 2017/384).</w:t>
      </w:r>
    </w:p>
    <w:p>
      <w:r>
        <w:rPr>
          <w:b/>
        </w:rPr>
        <w:t>E. 6.1.3</w:t>
      </w:r>
    </w:p>
    <w:p>
      <w:r>
        <w:t>En l’espèce, le trajet en transports publics entre le domicile de l’intimé, à [...], et son lieu de travail, à [...], dure plus de 45 minutes, alors que la voiture permet de parcourir ce trajet en seulement 7 ou minutes environ. On ne peut raisonnablement exiger de l'intimé qu'il prenne plus de 1h30 chaque jour pour se rendre à son travail, alors que l'utilisation d'une voiture lui permet de limiter ses déplacements à 15 minutes par jour environ. Au demeurant, les frais d'utilisation de ce véhicule – qui ne sont pas contestés comme tels et qui sont conformes à la jurisprudence précitée – ne sont pas disproportionnés par rapport aux revenus de l'intimé. Les frais de transports retenus peuvent dès lors être confirmés.</w:t>
      </w:r>
    </w:p>
    <w:p>
      <w:r>
        <w:rPr>
          <w:b/>
        </w:rPr>
        <w:t>E. 6.2</w:t>
      </w:r>
    </w:p>
    <w:p>
      <w:r>
        <w:t>L’appelante soutient ensuite que bien que l’intimé ait produit des pièces attestant de frais médicaux à hauteur de 178 fr. 25 par mois, cela ne voudrait pas encore dire qu’il supporterait de tels frais. L’appelante ne fait ici qu’exposer son point de vue, sans démontrer concrètement que le poste retenu par le premier juge serait erroné. Pour le surplus, les pièces produites par l’intimé à cet égard et figurant au dossier suffisent à démontrer, au degré de preuve requis, le bien-fondé de ce poste.</w:t>
      </w:r>
    </w:p>
    <w:p>
      <w:r>
        <w:rPr>
          <w:b/>
        </w:rPr>
        <w:t>E. 6.3</w:t>
      </w:r>
    </w:p>
    <w:p>
      <w:r>
        <w:t>Enfin, l’appelante ne rend pas vraisemblable qu’un droit au subside serait ouvert en faveur de l’intimé, de sorte que c’est bien la prime d’assurance-maladie de 387 fr. par mois – telle qu’elle ressort des pièces au dossier – qui doit être comptabilisée dans les charges de l’intimé. Le moyen, mal fondé, doit donc être rejeté. Il s’ensuit que le disponible de l’intimé, tel que retenu par le premier juge pour les diverses périodes prises en considération, doit être confirmé.</w:t>
      </w:r>
    </w:p>
    <w:p>
      <w:r>
        <w:rPr>
          <w:b/>
        </w:rPr>
        <w:t>E. 7.1</w:t>
      </w:r>
    </w:p>
    <w:p>
      <w:r>
        <w:t>Il convient à présent de recalculer l’entretien convenable et la contribution d’entretien de H.________ en fonction des revenus et des charges des parties, ainsi que des coûts directs de l’enfant tels qu’ils ont été arrêtés ci-dessus.</w:t>
      </w:r>
    </w:p>
    <w:p>
      <w:r>
        <w:rPr>
          <w:b/>
        </w:rPr>
        <w:t>E. 7.2.1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 Juge délégué CACI 12 octobre 2018/571 consid. 4.2.2).</w:t>
      </w:r>
    </w:p>
    <w:p>
      <w:r>
        <w:rPr>
          <w:b/>
        </w:rPr>
        <w:t>E. 7.2.2</w:t>
      </w:r>
    </w:p>
    <w:p>
      <w:r>
        <w:t>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Afin de calculer la contribution d’entretien due en faveur de l’enfant, la doctrine préconise de procéder d'abord au calcul des coûts directs de celui-ci, puis de déterminer le minimum vital du parent gardien. Si ce parent accuse un déficit, celui-ci devra être réparti entre les enfants et constituera la contribution de prise en charge (Juge délégué CACI 28 mars 2017/128 consid. 3.1 et les références citées ;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 en charge constituera le montant dû au titre de contribution d'entretien pour l'enfant. Ladite contribution ne doit toutefois pas dépasser les limites de la capacité contributive économique du parent débirentier, dont le minimum vital au sens du droit des poursuites doit être préservé (ATF 140 III 337 consid. 4.3 ; ATF 137 III 59, JdT 2011 II 359 consid. 4.2.1 ; TF 5A_634/2013 du 12 mars 2014 consid. 3.1.2).</w:t>
      </w:r>
    </w:p>
    <w:p>
      <w:r>
        <w:rPr>
          <w:b/>
        </w:rPr>
        <w:t>E. 7.2.3</w:t>
      </w:r>
    </w:p>
    <w:p>
      <w:r>
        <w:t>Dans les situations de déficit, soit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 montant doit être constaté dans le dispositif (Message, FF 2014 p. 511 ss, spéc. p. 561). Le but de cette exigence est, d'une part, de faciliter la tâche du juge de la modification et, d'autre part, de permettre à l'enfant de demander ultérieurement le versement de la différence entre le montant de la contribution d'entretien allouée et celui nécessaire à son entretien convenable, si la situation du débiteur devait s'améliorer de manière exceptionnelle au sens de l'art. 286a CC (Message, FF 2014, p. 511 ss, spéc. p. 562). L'art. 301a let. c CPC peut difficilement exiger du juge qui fixe les contributions alimentaires en situation de déficit qu'il constate définitivement, avec autorité de chose jugée, le montant que l'enfant serait en droit de réclamer au débiteur si la situation de celui-ci connaissait une amélioration exceptionnelle (art. 286a CC). Une telle constatation devrait alors pouvoir être modifiée à chaque changement durable des besoins de l'enfant et à chaque augmentation ou baisse du montant des allocations familiales ou des autres subsides non subsidiaires servis à l'enfant, lors même que ces changements n'auraient dans l'immédiat aucun impact sur le montant des contributions d'entretien − ce qui reviendrait à faire des procédures pour la protection d'intérêts purement hypothétiques et ne s'harmoniserait guère avec l'art. 59 al. 2 let. a CPC. Il faut dès lors comprendre que l'art. 301a let. c CPC exige seulement la constatation du montant nécessaire à l'entretien convenable de l'enfant au moment du jugement, en laissant ouvertes toutes les autres questions qui pourraient se poser dans un procès ultérieur en modification des contributions d'entretien (art. 286 CC) ou en versement de contributions rétrospectives (art. 286a CC). Le montant à constater est la somme des coûts d'entretien directs et des frais de prise en charge de l'enfant, tels qu'ils existent au moment de la fixation des contributions d'entretien. Les allocations familiales, qui sont une source de financement, n'ont en principe pas à être déduites. Toutefois, si le juge les déduit en indiquant clairement quel montant il déduit à ce titre, il satisfait à l'exigence de l'art. 301a let. c CPC.</w:t>
      </w:r>
    </w:p>
    <w:p>
      <w:r>
        <w:rPr>
          <w:b/>
        </w:rPr>
        <w:t>E. 7.3</w:t>
      </w:r>
    </w:p>
    <w:p>
      <w:r>
        <w:t>En l’espèce, les coûts directs de H.________ s’élèvent en définitive à 525 fr. 80 pour la période courant jusqu’au 31 octobre 2018, à 647 fr. 40 du 1 er novembre au 31 décembre 2018, à 597 fr. 40 du 1 er janvier 2019 jusqu’à l’entrée en force du jugement et à 719 fr. 40 dès l’entrée en force du jugement (cf. consid. 4 supra ). L’intimée a pour sa part accusé un déficit de 1'210 fr. 60 pour la période allant jusqu’au 31 août 2020 et de 565 fr. 45 dès le 1 er septembre 2020 (cf. consid. 5.3 supra ), ces montants constituant la contribution de prise en charge. Il s’ensuit que l’entretien convenable de H.________ s’élève, après déduction des allocations familiales, à 1'736 fr. 40 (1'210 fr. 60 + 525 fr. 80) du 1 er mars au 31 octobre 2018, à 1'858 fr. (1'210 fr. 60 + 647 fr. 40) du 1 er novembre au 31 décembre 2018, à 1'808 fr. (1'210 fr. 60 + 597 fr. 40) du 1 er janvier 2019 à l’entrée en force du jugement, à 1'930 fr. (1'210 fr. 60 +719 fr. 40) de l’entrée en force du jugement au 31 août 2020 et à 1'284 fr. 85 (565 fr. 45 + 719 fr. 40) dès le 1 er septembre 2020. Le jugement sera réformé en ce sens aux chiffres VII à X et par l’ajout d’un chiffre Xbis. La contribution d’entretien due en faveur de H.________ telle qu’arrêtée par le premier juge doit être confirmée s’agissant des périodes allant du 1 er mars 2018 à l’entrée en force du jugement (ch. XI à XIV du dispositif). Elle correspond en effet à l’entier du disponible mensuel de l’intimé lors de ces périodes. De l’entrée en force du jugement au 31 août 2020, ladite contribution devrait s’élever – en tenant compte d’un montant de 1'210 fr. 60 à titre de contribution de prise en charge et d’un montant de 369 fr. 40 à titre de coûts directs de l’enfant (après déduction de la moitié du montant de base et de la part de l’enfant au loyer du père) –, à 1'580 fr. et à 934 fr. 85 dès le 1 er septembre 2020, compte tenu des coûts directs par 369 fr. 40 et de la contribution de prise en charge par 565 fr. 45. Le disponible de l’intimé étant de 880 fr. 40 (3'776 fr. 65 [revenu] – 2'896 fr. 25 [charges]) dès l’entrée en force du jugement, le montant de la contribution d’entretien devrait être arrêté à ce montant. Toutefois, cette contribution ayant été fixée par le premier juge à 840 fr. par mois dès l’entrée en force du jugement, une diminution de 40 fr. 40 (880 fr. 40 – 840 fr.), soit de 4,5% seulement, n’est pas d’une ampleur suffisante justifiant une modification de ladite contribution (cf. TF 5A_230/2019 du 31 janvier 2020 consid. 6.2, où une diminution de 6,4% n’a pas été considérée comme notable ; cf. ég. Juge délégué CACI du 8 mai 2018/274 consid. 7 et Juge délégué CACI du 3 octobre 2014/524 consid. 4.4.3, où une diminution de la contribution de 115 fr., respectivement une augmentation de 145 fr. n’ont pas été prises en considération). Il y a ainsi lieu de s’en tenir au montant de 840 fr. retenu par le premier juge, étant relevé que l’imputation d’un revenu hypothétique à l’appelante dès le 1 er septembre 2020 (cf. consid. 5.3 supra ) n’a aucune influence sur ce montant.</w:t>
      </w:r>
    </w:p>
    <w:p>
      <w:r>
        <w:rPr>
          <w:b/>
        </w:rPr>
        <w:t>E. 8.1</w:t>
      </w:r>
    </w:p>
    <w:p>
      <w:r>
        <w:t>En conclusion, l’appel doit être très partiellement admis et le jugement entrepris réformé dans le sens des considérants qui précèdent.</w:t>
      </w:r>
    </w:p>
    <w:p>
      <w:r>
        <w:rPr>
          <w:b/>
        </w:rPr>
        <w:t>E. 8.2</w:t>
      </w:r>
    </w:p>
    <w:p>
      <w:r>
        <w:t>Vu l’issue du litige, la répartition par moitié des frais judiciaires de première instance et, partant, la compensation des dépens, peuvent être confirmées.</w:t>
      </w:r>
    </w:p>
    <w:p>
      <w:r>
        <w:rPr>
          <w:b/>
        </w:rPr>
        <w:t>E. 8.3</w:t>
      </w:r>
    </w:p>
    <w:p>
      <w:r>
        <w:t>Les requêtes d'assistance judiciaire formées en appel par T.________ ainsi que par R.________ peuvent être admises, les conditions fixées par l'art. 117 CPC étant réalisées. Le bénéfice de l'assistance judiciaire sera ainsi octroyé aux parties, Me Romain Kramer étant désigné comme conseil d'office de l’appelante et Me Laurent Métrailler comme conseil d’office de l'intimé. En leur qualité de conseils d'office, Mes Kramer et Métrailler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BLV 211.02.3]).</w:t>
      </w:r>
    </w:p>
    <w:p>
      <w:r>
        <w:rPr>
          <w:b/>
        </w:rPr>
        <w:t>E. 8.3.1</w:t>
      </w:r>
    </w:p>
    <w:p>
      <w:r>
        <w:t>Dans sa liste des opérations, le conseil de l’appelante a indiqué avoir consacré au total 9 heures et 30 minutes à la procédure d'appel. Ce nombre d’heures peut être admis. Au tarif horaire de 180 fr., l’indemnité d’office due à Me Kramer doit ainsi être arrêtée à 1'710 fr. pour ses honoraires, plus 34 fr. 20 de débours (1'710 fr. x 2% [cf. art. 3bis al. 1 RAJ]) et 134 fr. 30 de TVA (7,7%) sur le tout, soit 1'878 fr. 50 au total, montant arrondi à 1'880 francs.</w:t>
      </w:r>
    </w:p>
    <w:p>
      <w:r>
        <w:rPr>
          <w:b/>
        </w:rPr>
        <w:t>E. 8.3.2</w:t>
      </w:r>
    </w:p>
    <w:p>
      <w:r>
        <w:t>Dans sa liste des opérations, le conseil de l’intimé a indiqué un montant total de 2'122 fr. 50 (hors TVA), correspondant, au tarif horaire de 180 fr., à 11 heures et 48 minutes de travail (2'122 fr. 50 : 180 fr.), ce qui peut être admis. S’ajoutent à ce montant les débours forfaitaires par 42 fr. 45 (2'122 fr. 50 x 2%) et la TVA à 7,7% sur le tout, par 166 fr. 70, ce qui donne un total de 2'331 fr. 65, que l’on arrondira à 2'330 francs.</w:t>
      </w:r>
    </w:p>
    <w:p>
      <w:r>
        <w:rPr>
          <w:b/>
        </w:rPr>
        <w:t>E. 8.3.3</w:t>
      </w:r>
    </w:p>
    <w:p>
      <w:r>
        <w:t>Les bénéficiaires de l'assistance judiciaire seront, dans la mesure de l'art. 123 CPC, tenus au remboursement des frais de justice et de l'indemnité du conseil d'office mis à la charge de l'Etat.</w:t>
      </w:r>
    </w:p>
    <w:p>
      <w:r>
        <w:rPr>
          <w:b/>
        </w:rPr>
        <w:t>E. 8.4</w:t>
      </w:r>
    </w:p>
    <w:p>
      <w:r>
        <w:t>En appel, l’appelante n’obtient finalement gain de cause que sur le montant des frais de garde de l’enfant H.________ ainsi que, s’agissant du revenu hypothétique, sur le délai d’adaptation. Ces modifications ont une influence uniquement sur le montant assurant l’entretien convenable de l’enfant, mais pas sur la contribution d’entretien. Dans ces conditions, les frais judiciaires de deuxième instance, arrêtés à 600 fr. (art. 63 al. 1 TFJC [tarif des frais judiciaires civils du 28 septembre 2010, RSV 270.11.5]), seront répartis à raison de cinq sixièmes, soit 500 fr., pour l’appelante et d'un sixième, soit 100 fr., pour l’intimé (art. 106 al. 2 CPC), celui-ci devant en outre supporter l’émolument forfaitaire afférent à l’ordonnance de mesures superprovisionnelles du 31 janvier 2020, par 200 fr. (art. 7 al. 1 et 60 TFJC). Ces frais seront laissés provisoirement à la charge de l'Etat, les parties étant toutes deux au bénéfice de l'assistance judiciaire (art. 122 al. 1 let. b CPC).</w:t>
      </w:r>
    </w:p>
    <w:p>
      <w:r>
        <w:rPr>
          <w:b/>
        </w:rPr>
        <w:t>E. 8.5</w:t>
      </w:r>
    </w:p>
    <w:p>
      <w:r>
        <w:t>L’octroi de l’assistance judiciaire ne dispense pas la partie du versement des dépens à la partie adverse (art. 122 al. 1 let. d CPC). La charge des dépens est évaluée à 2'400 fr. pour chaque partie, de sorte que, compte tenu de ce que les frais – comprenant les frais judiciaires et les dépens (art. 95 al. 1 CPC) – doivent être mis à la charge de l'appelante à raison de cinq sixièmes et de l'intimé à raison d’un cinquième, T.________ devra verser à R.________ la somme de 1'600 fr. à titre de dépens réduits de deuxième instance (art. 7 al. 1 TDC [tarif des frais judiciaires civils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