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127 vom 23. Januar 2020</w:t>
      </w:r>
    </w:p>
    <w:p>
      <w:r>
        <w:t>VD Tribunal cantonal, 2020-01-23, FR</w:t>
      </w:r>
    </w:p>
    <w:p>
      <w:r>
        <w:rPr>
          <w:b/>
        </w:rPr>
        <w:t xml:space="preserve">Quelle: </w:t>
      </w:r>
      <w:r>
        <w:t>https://mcp.opencaselaw.ch/entscheid/vd_findinfo_HC___2020___127</w:t>
      </w:r>
    </w:p>
    <w:p>
      <w:r>
        <w:t>FR: VD_FINDINFO HC / 2020 / 127 du 23 janvier 2020</w:t>
      </w:r>
    </w:p>
    <w:p>
      <w:r>
        <w:t>IT: VD_FINDINFO HC / 2020 / 127 del 23 gennaio 2020</w:t>
      </w:r>
    </w:p>
    <w:p>
      <w:pPr>
        <w:pStyle w:val="Heading2"/>
      </w:pPr>
      <w:r>
        <w:t>Regeste</w:t>
      </w:r>
    </w:p>
    <w:p>
      <w:r>
        <w:t>SUCCESSION, ÉMOLUMENT, DÉCOMPTE FINAL | 45 TFJC</w:t>
      </w:r>
    </w:p>
    <w:p>
      <w:pPr>
        <w:pStyle w:val="Heading2"/>
      </w:pPr>
      <w:r>
        <w:t>Erwägungen</w:t>
      </w:r>
    </w:p>
    <w:p>
      <w:r>
        <w:rPr>
          <w:b/>
        </w:rPr>
        <w:t>E. 1.1</w:t>
      </w:r>
    </w:p>
    <w:p>
      <w:r>
        <w:t>Les décisions relatives au certificat d’héritier et à sa délivrance sont des décisions gracieuses de droit fédéral. Dans le canton de Vaud, le certificat d'héritier est régi par les art. 133 ss CDPJ (Code de droit privé judiciaire vaudois du 12 janvier 2010 ; BLV 211.02). Les art. 104 à 109 CDPJ s'appliquent par le renvoi de l'art. 111 CDPJ. Le CPC, applicable à titre supplétif (art. 104 et 108 CDPJ), prévoit que la procédure sommaire s'applique à la juridiction gracieuse (art. 136 et 248 let. e CPC). En vertu de l’art. 319 let. b ch. 1 CPC, le recours est recevable dans les cas prévus par la loi. L’art. 110 CPC dispose que les décisions sur les frais ne peuvent être attaquées séparément que par un recours. Le recours est introduit auprès de l’instance de recours, soit en l’occurrence la Chambre des recours civile (art. 73 al. 1 LOJV [loi d’organisation judiciaire du 12 décembre 1979 ; BLV 173.01]), dans les dix jours à compter de la notification de la décision motivée ou de la notification postérieure de la motivation (art. 321 al.</w:t>
      </w:r>
    </w:p>
    <w:p>
      <w:r>
        <w:rPr>
          <w:b/>
        </w:rPr>
        <w:t>E. 1.2</w:t>
      </w:r>
    </w:p>
    <w:p>
      <w:r>
        <w:t>En l’espèce, le recours a été adressé par Me P.________, exécuteur testamentaire, en son propre nom pour le compte de la succession. Il ne produit d’ailleurs à cet égard que l’attestation d’exécuteur testamentaire et non une procuration le mandatant en qualité d’avocat (TF 2P.276/2003 du 19 juillet 2004). En sa qualité d’exécuteur testamentaire, il dispose d’un intérêt à recourir pour contester les frais mis à la charge de la succession (art. 59 al. 2 let. a CPC ; dans ce sens cf. TF 5A_1036/2017 du 23 mars 2018 consid. 1.2.1). Pour le surplus, le recours a été formé en temps utile auprès de l’autorité compétente, de sorte qu’il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 e éd., 2013, n. 26 ad art. 319 CPC). Elle revoit librement les questions de droit soulevées par le recourant et peut substituer ses propres motifs à ceux de l'autorité précédente ou du recourant (Hohl, Procédure civile, tome II, 2 e éd., 2010, n. 2508, p. 452). S’agissant des faits, toutefois, le pouvoir d’examen dont dispose l’autorité saisie d’un recours est plus restreint qu’en appel. En effet,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w:t>
      </w:r>
    </w:p>
    <w:p>
      <w:r>
        <w:rPr>
          <w:b/>
        </w:rPr>
        <w:t>E. 3.1</w:t>
      </w:r>
    </w:p>
    <w:p>
      <w:r>
        <w:t>Le recourant estime que les frais relatifs à la délivrance du certificat d’héritier ont été fixés en violation de l’art. 45 al. 1 TFJC. A cet égard, il conteste uniquement le taux utilisé, invoquant l’application du taux de 0,5 ‰ en lieu et place du taux de 1 ‰ et requiert que ces frais, arrêtés à 19'331 fr., soient ramenés à un montant de 3'500 francs.</w:t>
      </w:r>
    </w:p>
    <w:p>
      <w:r>
        <w:rPr>
          <w:b/>
        </w:rPr>
        <w:t>E. 3.2</w:t>
      </w:r>
    </w:p>
    <w:p>
      <w:r>
        <w:t>Aux termes de l’art. 45 al. 1 TFJC, l’émolument de base dû pour la délivrance d’un certificat d’héritier est de 100 fr., augmenté de 1 ‰ de l'actif net inventorié de la succession, mais de 10'000 francs au maximum. Si le défunt était marié, le taux est fixé à 0,5 ‰. Selon l’art. 45 al. 2 TFJC, en l’absence d’inventaire civil, l’émolument est calculé sur la base de la fortune nette imposable résultant de la dernière taxation du défunt passée en force. Selon la jurisprudence, afin d’éviter que la justice de paix ne soit contrainte de liquider le régime matrimonial elle-même ou que la délivrance du certificat d’héritier ne doive attendre la liquidation à opérer fiscalement par l’Administration cantonale des impôts, le tarif des frais judiciaires en matière civile prévoit que la base de calcul est l’entier de la fortune nette imposable résultant de la dernière taxation du défunt passée en force et que le taux est réduit de moitié lorsque celui-ci est marié. Ce n’est qu’après que la liquidation du régime matrimonial sur le plan fiscal aura été opérée par un notaire conformément à l’art. 41 LMSD (Loi concernant le droit de mutation sur les transferts immobiliers et l’impôt sur les successions et donations du 27 février 1963 ; BLV 648.11) que l’émolument pourra, le cas échéant, être corrigé (cf. art. 45 al. 3 TFJC ; CREC 29 janvier 2016/33 consid. 3.b ; CREC 18 novembre 2015/400 consid. 4.1.b).</w:t>
      </w:r>
    </w:p>
    <w:p>
      <w:r>
        <w:rPr>
          <w:b/>
        </w:rPr>
        <w:t>E. 3.3</w:t>
      </w:r>
    </w:p>
    <w:p>
      <w:r>
        <w:t>B.B.________ est décédé le [...] 2019, alors qu’il était veuf depuis le [...] 2019. Dès lors que le de cujus était veuf et donc non marié lors de son décès, le taux applicable était bien celui de 1 ‰ et non celui de 0,5 ‰.</w:t>
      </w:r>
    </w:p>
    <w:p>
      <w:r>
        <w:rPr>
          <w:b/>
        </w:rPr>
        <w:t>E. 4.1</w:t>
      </w:r>
    </w:p>
    <w:p>
      <w:r>
        <w:t>Au vu de ce qui précède, le recours, manifestement infondé, doit être rejeté conformément à l'art. 322 al. 1 CPC et la décision confirmée. Les frais judiciaires de deuxième instance, arrêtés à 200 fr. (art. 69 al. 1 TFJC), seront mis à la charge de l’Hoirie de B.B.________, pour le compte de laquelle le recourant agissait à titre d’exécuteur testamentaire (art. 106 al. 1 CPC). Il n’y a pas lieu à l’allocation de dépens de deuxième instance. Par ces motifs, la Chambre des recours civile du Tribunal cantonal, en application de l'art. 322 al. 1 CPC, prononce : I. Le recours est rejeté. II. La décision est confirmée. III. Les frais judiciaires de deuxième instance, arrêtés à 200 fr. (deux cents francs), sont mis à la charge de l’Hoirie de B.B.________. IV. L’arrêt est exécutoire. Le président :               La greffière : Du L'arrêt qui précède, dont la rédaction a été approuvée à huis clos, est notifié à : ‑ Me 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