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965 vom 30. Oktober 2019</w:t>
      </w:r>
    </w:p>
    <w:p>
      <w:r>
        <w:t>VD Tribunal cantonal, 2019-10-30, FR</w:t>
      </w:r>
    </w:p>
    <w:p>
      <w:r>
        <w:rPr>
          <w:b/>
        </w:rPr>
        <w:t xml:space="preserve">Quelle: </w:t>
      </w:r>
      <w:r>
        <w:t>https://mcp.opencaselaw.ch/entscheid/vd_findinfo_HC___2019___965</w:t>
      </w:r>
    </w:p>
    <w:p>
      <w:r>
        <w:t>FR: VD_FINDINFO HC / 2019 / 965 du 30 octobre 2019</w:t>
      </w:r>
    </w:p>
    <w:p>
      <w:r>
        <w:t>IT: VD_FINDINFO HC / 2019 / 965 del 30 ottobre 2019</w:t>
      </w:r>
    </w:p>
    <w:p>
      <w:pPr>
        <w:pStyle w:val="Heading2"/>
      </w:pPr>
      <w:r>
        <w:t>Regeste</w:t>
      </w:r>
    </w:p>
    <w:p>
      <w:r>
        <w:t>RÉVISION{DÉCISION}, TRANSACTION JUDICIAIRE, CRAINTE FONDÉE, EXÉCUTION FORCÉE | 29 CO, 328 CPC (CH), 332 CPC (CH), 341 CPC (CH)</w:t>
      </w:r>
    </w:p>
    <w:p>
      <w:pPr>
        <w:pStyle w:val="Heading2"/>
      </w:pPr>
      <w:r>
        <w:t>Erwägungen</w:t>
      </w:r>
    </w:p>
    <w:p>
      <w:r>
        <w:rPr>
          <w:b/>
        </w:rPr>
        <w:t>E. 1</w:t>
      </w:r>
    </w:p>
    <w:p>
      <w:r>
        <w:t>Aux termes de l'art. 332 CPC (Code de procédure civile du 19 décembre 2008 ; RS 272), la décision sur la demande de révision peut faire l'objet d'un recours. Le recours écrit et motivé (art. 321 al. 1 CPC) doit s'exercer dans un délai de trente jours à compter de la notification de la décision motivée. En l'espèce, le recours est dirigé contre une décision faussement datée du 4 septembre 2019, dépourvue de toute indication concernant les voies et délais de recours, faisant référence à la requête des locataires du 5 septembre 2019 et confirmant un courrier du 4 septembre 2019. Au vu de la teneur de la décision attaquée, on peut néanmoins considérer qu'il s'agit d'une décision refusant la révision d'une décision entrée en force le 15 mai 2019 suite à l'aboutissement d'une conciliation. Nonobstant la date erronée de la décision sur révision, le recours du 12 septembre 2019, qui se réfère à l'écriture du 5 septembre 2019, a de toute manière été déposé dans le délai de trente jours. Dès lors que le recours a été interjeté en temps utile par une partie qui y a un intérêt (art. 59 al. 2 let. a CPC), il est recevable en la forme. L’écriture du 28 octobre 2019, déposée hors délai, est quant à elle irrecevable. Il en va de même des pièces qui y étaient jointes, qui s’avèrent nouvelles 8art. 326 al. 1 CPC).</w:t>
      </w:r>
    </w:p>
    <w:p>
      <w:r>
        <w:rPr>
          <w:b/>
        </w:rPr>
        <w:t>E. 2.1</w:t>
      </w:r>
    </w:p>
    <w:p>
      <w:r>
        <w:t>Aux termes de l'art. 328 al. 1 CPC, 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des faits et moyens de preuve postérieurs à la décision (let. a) ou lorsqu'elle fait valoir que le désistement d'action, l'acquiescement ou la transaction judiciaire n'est pas valable (let. c). Le délai pour demander la révision est de 90 jours à compter de celui où le motif de la révision est découvert (art. 329 al. 1 CPC). Selon l'art. 328 al. 1 CPC, une partie peut demander la révision de la décision entrée en force au tribunal qui a statué en dernière instance. Le mot « décision » a un sens large, incluant d'innombrables actes d'autorité et les actes juridictionnels, tels les jugements. Or, seuls ces derniers sont susceptibles d'être revêtus de l'autorité de la chose jugée qu'exige l'art. 328 al. 1 CPC (décision entrée en force). La révision ne concerne que les jugements entrés en force qui ne peuvent plus faire l'objet des recours ordinaires prévus par la loi (Schweizer, Commentaire romand, Code de procédure civile [ci-après : CR-CPC), Bâle 2019, nn. 10-11 ad art. 328 CPC). Selon les art. 208 al. 2 et 241 al. 2 CPC, la transaction judiciaire a les effets d'une décision entrée en force. Il s'ensuit que cette autorité est compétente pour statuer sur la demande de révision, à l'exclusion du Tribunal des baux (Bohnet, CR-CPC, n. 12 ad art. 208 CPC ; CREC 18 janvier 2013/13). Une partie ne peut demander la révision d'une décision entrée en force que pour des noviter reperta , soit des faits ou des preuves préexistants révélés a posteriori, et non pour des faits ou des preuves nés après l'entrée en force de la décision (Schweizer, op. cit., n. 21 ad art. 328 CPC). Vu la portée temporelle de la chose jugée, les faits survenus après que le juge a statué sont susceptibles de faire l'objet d'une procédure nouvelle. En revanche, la révision est exclue (Schweizer, op. cit., n. 22 ad art. 328 CPC). La partie qui demande la révision doit démontrer qu'elle n'a pas été en mesure de s'en prévaloir en cours de procédure, pour des raisons qui ne lui sont pas imputables ; d'une part, elle doit participer activement et dès l'introduction de l'instance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17 à 20 ad art. 328 CPC). La révision concerne donc uniquement l'état de fait qui a servi de base au jugement contesté. Une contestation sur un point de droit n'ouvre en principe pas la porte de la révision (Schweizer, op. cit., n. 16 ad art. 328 CPC). L'invalidité d'une transaction judiciaire ne peut être invoquée que par la voie de la révision (art. 328 al. 1 let. c CPC : TF 4A_254/2016 du 10 juillet 2017 consid. 4.1.1, Cahiers du Bail [CdB] 2017 p. 97).</w:t>
      </w:r>
    </w:p>
    <w:p>
      <w:r>
        <w:rPr>
          <w:b/>
        </w:rPr>
        <w:t>E. 3.1</w:t>
      </w:r>
    </w:p>
    <w:p>
      <w:r>
        <w:t>Dans leur écriture du 12 septembre 2019, les recourants invoquent en substance l’impossibilité de trouver un nouveau logement en tant que motif de révision. Ils se réfèrent à leur requête de révision du 5 septembre 2019, dans laquelle ils expliquent notamment que leur deuxième enfant allant naître, ils ont dû accepter la conciliation pour éviter l'expulsion. Il ressort également de cette requête que les recourants n’auraient pas été en mesure de régler leurs loyers en raison de la suppression de leur Revenu d’insertion, qui aurait été décidée par le Centre Social Régional après intervention de l’autorité communale, à savoir la partie bailleresse, que la résiliation serait intervenue alors qu'un recours était pendant contre la décision de supprimer le Revenu d’insertion, que les loyers impayés auraient ensuite été réglés, que la recourante ne s’était pas vu notifier personnellement la résiliation du bail à loyer et que ces éléments auraient été invoqués lors de l’audience de conciliation sans qu’aucune grande attention « n’y [aurait] été portée. »</w:t>
      </w:r>
    </w:p>
    <w:p>
      <w:r>
        <w:rPr>
          <w:b/>
        </w:rPr>
        <w:t>E. 3.2</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2e éd., p. 363).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Bien que l'objet de l'art. 29 CO (Code des obligations du 30 mars 1911 ;RS 220), sanctionnant la crainte fondée, ne soit pas l'acte menaçant du cocontractant ou d'un tiers, mais l'effet de la menace, la crainte fondée n'est significative que si elle provient d'une menace (Schmidlin, Commentaire bernois, n. 11 et 12 ad art. 29/30 CO). La seule crainte qui constitue une cause d'annulation du contrat, c'est la crainte inspirée par des menaces exercées dans l'intention d'amener la personne menacée à passer un acte juridique (von Tuhr/Peter, Allgemeiner Teil des Schweizerischen Obligationenrechts, vol I, p. 325 n. 2). La personne de l'auteur de la menace importe peu ; il n'est pas nécessaire que le cocontractant de la personne menacée ait connaissance de la menace, mais la personne menaçante doit agir dans le dessein d'amener la personne menacée à passer le contrat (Gauch/Schluep/Schmid/Rey, Schweizerisches Obligationenrecht, Allgemeiner Teil, 7e éd., n. 877, p. 178). La crainte doit avoir été insufflée par une personne (cocontractant ou tiers) ; si la crainte n'a pas été inspirée par un individu, mais a été déterminée, dans l'esprit de la victime, par un fait extérieur étranger à toute intervention personnelle de l'homme, la victime ne peut invoquer l'art. 29 CO pour se libérer du contrat qu'elle a conclu (TF arrêt 4C.81/2001 du 13 juillet 2001 consid. 3a).</w:t>
      </w:r>
    </w:p>
    <w:p>
      <w:r>
        <w:rPr>
          <w:b/>
        </w:rPr>
        <w:t>E. 3.3</w:t>
      </w:r>
    </w:p>
    <w:p>
      <w:r>
        <w:t>En l’espèce, ce que craignaient les requérants, c’était une prompte expulsion, soit une conséquence licite pour tout locataire qui ne règle pas son loyer à temps, ce qui ne correspond pas à une crainte inspirée sans droit par l’autre partie ou un tiers au sens de l’art. 29 al. 1 CO. Les recourants n’établissent dès lors pas avoir été victimes d’un vice du consentement lors de la conclusion de la transaction, si bien qu’il n’y a pas matière à révision.</w:t>
      </w:r>
    </w:p>
    <w:p>
      <w:r>
        <w:rPr>
          <w:b/>
        </w:rPr>
        <w:t>E. 3.4</w:t>
      </w:r>
    </w:p>
    <w:p>
      <w:r>
        <w:t>Cela étant,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En l’occurrence, il paraît douteux que la transaction conclue par les parties à l’audience du 15 mai 2019, singulièrement l’engagement pris par les recourants de quitter volontairement l’appartement au plus tard le 31 octobre 2019, puisse faire l’objet d’une exécution directe au sens de l’art. 337 al. 1 CPC, nonobstant la teneur du chiffre 4 de cette transaction, dont la portée a pu échapper aux locataires qui procédaient sans l’assistance d’un conseil juridique. En effet, selon l’interprétation de la Chambre de céans, on doit inférer de la procédure engagée par les recourants, aux prises avec l’engagement pris en audience de conciliation, que ces derniers entendent en réalité contester le caractère immédiatement exécutoire de la transaction ou à tout le moins requérir une suspension de l’exécution directe selon l’art. 337 al. 2 CPC, les objections soulevées dans le cadre de la procédure de révision devant à leurs yeux faire obstacle à l’exécution directe, ce qu’il leur appartiendra de soulever devant le juge de l’exécution.</w:t>
      </w:r>
    </w:p>
    <w:p>
      <w:r>
        <w:rPr>
          <w:b/>
        </w:rPr>
        <w:t>E. 4</w:t>
      </w:r>
    </w:p>
    <w:p>
      <w:r>
        <w:t>En conclusion, le recours doit être rejeté et la décision confirmée. L’arrêt est rendu sans frais (art. 113 al. 2 let. a CPC). Au surplus, il n’y a pas lieu à l’allocation de dépens de deuxième instance, l’intimée n’étant pas assistée d’un mandataire professionnel et n’ayant au surplus pris aucune conclusion dans ce sens ni dans ses déterminations sur la requête d’effet suspensif, ni dans sa réponse au recours. Par ces motifs, la Chambre des recours civile du Tribunal cantonal, prononce : I. Le recours est rejeté. II. La décision est confirmée, III. L’arrêt, rendu sans frais, est exécutoire, Le président :               La greffière : Du L'arrêt qui précède, dont la rédaction a été approuvée à huis clos, est notifié (par e-fax et courrier A) à : ‑ X.________ et H.________ personnellement , ‑ Commune de C.________.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Jura – Nord-Vaudois.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