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929 vom 4. Oktober 2019</w:t>
      </w:r>
    </w:p>
    <w:p>
      <w:r>
        <w:t>VD Tribunal cantonal, 2019-10-04, FR</w:t>
      </w:r>
    </w:p>
    <w:p>
      <w:r>
        <w:rPr>
          <w:b/>
        </w:rPr>
        <w:t xml:space="preserve">Quelle: </w:t>
      </w:r>
      <w:r>
        <w:t>https://mcp.opencaselaw.ch/entscheid/vd_findinfo_HC___2019___929</w:t>
      </w:r>
    </w:p>
    <w:p>
      <w:r>
        <w:t>FR: VD_FINDINFO HC / 2019 / 929 du 4 octobre 2019</w:t>
      </w:r>
    </w:p>
    <w:p>
      <w:r>
        <w:t>IT: VD_FINDINFO HC / 2019 / 929 del 4 ottobre 2019</w:t>
      </w:r>
    </w:p>
    <w:p>
      <w:pPr>
        <w:pStyle w:val="Heading2"/>
      </w:pPr>
      <w:r>
        <w:t>Regeste</w:t>
      </w:r>
    </w:p>
    <w:p>
      <w:r>
        <w:t>RÉCUSATION, DEMANDE ADRESSÉE À L'AUTORITÉ, REJET DE LA DEMANDE, JUGE DE PAIX | 47 CPC (CH), 49 al. 1 CPC (CH)</w:t>
      </w:r>
    </w:p>
    <w:p>
      <w:pPr>
        <w:pStyle w:val="Heading2"/>
      </w:pPr>
      <w:r>
        <w:t>Erwägungen</w:t>
      </w:r>
    </w:p>
    <w:p>
      <w:r>
        <w:rPr>
          <w:b/>
        </w:rPr>
        <w:t>E. 1</w:t>
      </w:r>
    </w:p>
    <w:p>
      <w:r>
        <w:t>ROTC [règlement organique du Tribunal cantonal du 13 novembre 2007 ; BLV 173.31.1]). Le délai de recours est de dix jours (art. 321 al. 2 CPC ; Tappy Commentaire romand, Code de procédure civile, Bâle 2019, 2 e éd. [ci-après : CR-CPC], nn. 21 et 32 ad art. 50 CPC).</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w:t>
      </w:r>
    </w:p>
    <w:p>
      <w:r>
        <w:rPr>
          <w:b/>
        </w:rPr>
        <w:t>E. 1.2</w:t>
      </w:r>
    </w:p>
    <w:p>
      <w:r>
        <w:t>Interjeté en temps utile par une partie qui bénéficie d'un intérêt digne de protection (art. 59 al. 2 let. a CPC), le recours est recevable.</w:t>
      </w:r>
    </w:p>
    <w:p>
      <w:r>
        <w:rPr>
          <w:b/>
        </w:rPr>
        <w:t>E. 2</w:t>
      </w:r>
    </w:p>
    <w:p>
      <w:r>
        <w:t>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Les conclusions, les allégations de fait et les preuves nouvelles sont irrecevables en procédure de recours (art. 326 CPC).</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w:t>
      </w:r>
    </w:p>
    <w:p>
      <w:r>
        <w:rPr>
          <w:b/>
        </w:rPr>
        <w:t>E. 2.2</w:t>
      </w:r>
    </w:p>
    <w:p>
      <w:r>
        <w:t>En l’espèce, les pièces produites par le recourant à l’appui de son recours sont irrecevables pour autant qu’elles ne figurent pas déjà au dossier de première instance.</w:t>
      </w:r>
    </w:p>
    <w:p>
      <w:r>
        <w:rPr>
          <w:b/>
        </w:rPr>
        <w:t>E. 3.1</w:t>
      </w:r>
    </w:p>
    <w:p>
      <w:r>
        <w:t>La garantie d'un tribunal indépendant et impartial, résultant des art. 30 al. 1 Cst. (Constitution fédérale de la Confédération suisse du 18 avril 1999 ; RS 101) et 6 par. 1 CEDH (Convention du 4 novembre 1950 de sauvegarde des droits de l'homme et des libertés fondamentales ; RS 0.101)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 240 consid. 2.2 ; ATF 140 III 221 consid. 4.1, JdT 2014 II 425 ; ATF 139 III 433 consid. 2.1.2 ; ATF 138 I 1 consid. 2.2 ; ATF 137 I 227 consid. 2.1 ; ATF 136 III 605 consid. 3.2.1 ; ATF 136 I 207 consid. 3.1). Le risque de prévention ne saurait être admis trop facilement, sous peine de compromettre le fonctionnement normal des tribunaux (ATF 105 la 157 consid. 6a ; TF 5A_316/2012 du 17 octobre 2012 consid. 6.2.1 ; TF 5A_249/2015 du 29 septembre 2015 consid. 4.1). En matière civile, les magistrats et fonctionnaires judiciaires doivent se récuser lorsqu'ils pourraient être prévenus, notamment en raison d'un rapport d'amitié ou d'inimitié avec une partie ou son représentant (art. 47 al. 1 let. f CPC). La partie qui entend obtenir la récusation d'un magistrat ou d'un fonctionnaire judiciaire doit la demander au tribunal aussitôt qu'elle a eu connaissance du motif de récusation et rendre vraisemblables les faits qui motivent sa demande (art. 49 al. 1 CPC). Des décisions ou des actes de procédure viciés, voire arbitraires, ne fondent pas en soi une apparence objective de prévention. En effet, de par son activité, le juge est contraint de se prononcer sur des questions contestées et délicates ; même si elles se révèlent ensuite erronées, des mesures inhérentes à l'exercice normal de sa charge ne permettent pas encore de le suspecter de parti pris ;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125 1119 consid. 3e ; ATF 138 IV 142 consid. 2.3, avec les arrêts cités ; TF 5A_316/2012 du 17 octobre 2012 consid. 6.2.1 ; TF 5A_910/2013 du 6 mars 2014 consid. 5.1 ; TF 5A_249/2015 du 29 septembre 2015 consid. 4.1). En particulier, un défaut de compétences ne saurait être assimilé à une apparence de prévention justifiant une récusation (l'art. 30 Cst. ne concerne que les diverses règles de compétences à raison du lieu ou de la matière, mais non les aptitudes personnelles des magistrats) (TF 1C _791/2013 du 6 décembre 2013 consid. 2.2). C'est aux juridictions de recours normalement compétentes qu'il appartient de constater et de redresser les erreurs éventuellement commises ; le juge de la récusation ne saurait donc examiner la conduite du procès à la façon d'une instance d'appel (ATF 116 la 135 consid. 3a ; TF 5A_579/2012 du 10 septembre 2012 consid. 2.1 ; TF 5A_286/2013 du 12 juin 2013 consid. 2.1 ; TF 5A_749/2015 du 27 novembre 2015 consid. 5.1).</w:t>
      </w:r>
    </w:p>
    <w:p>
      <w:r>
        <w:rPr>
          <w:b/>
        </w:rPr>
        <w:t>E. 3.2</w:t>
      </w:r>
    </w:p>
    <w:p>
      <w:r>
        <w:t>En l’espèce, le recourant reproche tout d’abord aux premiers juges d’avoir retenu que sa demande de récusation paraissait tardive, se référant à l’audience du 16 juillet 2019 où il aurait appris que Me [...], administrateur officiel, serait l’ami de l’ancien curateur. Or, il ne s’agit pas là d’un motif de récusation de la juge de paix et encore moins des juges de paix pris dans leur ensemble. D’ailleurs, les premiers juges n’ont pas tranché la question de la tardiveté de la demande de récusation, au motif que celle-ci devait de toute manière être rejetée. Le recourant revient ensuite sur le « comportement criminel adopté par certains juges de paix ». Force est de constater, comme l’ont fait les premiers juges, que le recourant ne parvient pas à établir un tel comportement. En particulier, sous preuves 1 et 2 de son recours, il fait état du « comportement criminel » du curateur [...] pour des actes remontant à 2011. Sous preuves 3 à 8, il parle d’« action criminelle concertée entre le curateur [...] et le juge [...] » pour des actes de 2011, puis il revient, sous preuves 9 à 14, sur des faits ayant eu lieu de 2012 à 2019, précisant, sous chaque allégué, être « en présence d’une organisation criminelle au sein de la justice de paix de Lausanne ». Or, rien de tout cela n’est établi, le recourant se limitant à formuler des reproches sans rendre vraisemblables les faits qui motivent sa demande de récusation. En définitive, il y a lieu de constater que le recourant ne se livre pas à une critique étayée de la décision entreprise et en cela il ne respecte pas les réquisits imposés en la matière. Le recours doit de toute manière être rejeté, le raisonnement des premiers juges étant exempt de tout reproche. C’est à juste titre, c’est-à-dire en ayant apprécié justement les circonstances à disposition, que les magistrats ont retenu qu’aucun élément était propre à démontrer que le comportement adopté par les juges de paix serait de nature à fonder un motif de prévention. Le recourant n’apporte pas le moindre élément probant à ses accusations.</w:t>
      </w:r>
    </w:p>
    <w:p>
      <w:r>
        <w:rPr>
          <w:b/>
        </w:rPr>
        <w:t>E. 4</w:t>
      </w:r>
    </w:p>
    <w:p>
      <w:r>
        <w:t>En définitive, dans la mesure où il est recevable, le recours doit être rejeté, en application de l’art. 322 al. 1 CPC, et la décision attaquée confirmée. Les frais judiciaires de deuxième instance, fixés à 100 fr. (art. 72 al. 1 TFJC [tarif des frais judiciaires en matière civile du 28 septembre 2010 ; BLV 270.11.5]), seront mis à la charge du recourant, qui succombe (art. 106 al. 1 CPC). Par ces motifs, la Chambre des recours civile du Tribunal cantonal, en application de l'art. 322 al. 1 CPC, prononce : I. Le recours est rejeté, dans la mesure de sa recevabilité. II. La décision est confirmée. III. Les frais judiciaires de deuxième instance, arrêtés à 100 fr. (cent francs), sont mis à la charge du recourant F.________. IV. L’arrêt est exécutoire. Le président :               Le greffier : Du L'arrêt qui précède, dont la rédaction a été approuvée à huis clos, est notifié à : ‑ M. F.________, ‑ Me [...], administrateur officiel, ‑ Me Cyrille Piguet (pour [...]), ‑ M. le Premier juge de paix du district de Lausanne.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administrative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