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90 vom 13. Februar 2019</w:t>
      </w:r>
    </w:p>
    <w:p>
      <w:r>
        <w:t>VD Tribunal cantonal, 2019-02-13, FR</w:t>
      </w:r>
    </w:p>
    <w:p>
      <w:r>
        <w:rPr>
          <w:b/>
        </w:rPr>
        <w:t xml:space="preserve">Quelle: </w:t>
      </w:r>
      <w:r>
        <w:t>https://mcp.opencaselaw.ch/entscheid/vd_findinfo_HC___2019___90</w:t>
      </w:r>
    </w:p>
    <w:p>
      <w:r>
        <w:t>FR: VD_FINDINFO HC / 2019 / 90 du 13 février 2019</w:t>
      </w:r>
    </w:p>
    <w:p>
      <w:r>
        <w:t>IT: VD_FINDINFO HC / 2019 / 90 del 13 febbraio 2019</w:t>
      </w:r>
    </w:p>
    <w:p>
      <w:pPr>
        <w:pStyle w:val="Heading2"/>
      </w:pPr>
      <w:r>
        <w:t>Regeste</w:t>
      </w:r>
    </w:p>
    <w:p>
      <w:r>
        <w:t>OBLIGATION D'ENTRETIEN, MAJORITÉ{ÂGE}, ENFANT | 276 al. 1 CC, 277 al. 2 CC, 285 al. 1 CC, 106 al. 1 CPC (CH), 312 al. 1 CPC (CH)</w:t>
      </w:r>
    </w:p>
    <w:p>
      <w:pPr>
        <w:pStyle w:val="Heading2"/>
      </w:pPr>
      <w:r>
        <w:t>Erwägungen</w:t>
      </w:r>
    </w:p>
    <w:p>
      <w:r>
        <w:rPr>
          <w:b/>
        </w:rPr>
        <w:t>E. 1</w:t>
      </w:r>
    </w:p>
    <w:p>
      <w:r>
        <w:t>L'appel est recevable contre les décisions finales de première instance (art. 308 al. 1 let. a CPC) au sens de l'art. 236 CPC, dans les causes patrimoniales dont la valeur litigieuse au dernier état des conclusions devant l'autorité précédente est de 10'000 fr. au moins (art. 308 al. 2 CPC). Ecrit et motivé, l’appel doit être introduit dans les trente jours à compter de la notification de la décision motivée ou de la notification postérieure de la motivation (art. 311 al. 1 CPC). En l'espèce, formé en temps utile par une partie qui a un intérêt digne de protection (art. 59 al. 2 let. a CPC), dans une cause patrimoniale dont la valeur litigieuse est manifestement supérieure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in Commentaire romand, Code de procédure civile, 2 e éd. 2019, nn. 2 ss ad art. 310 CPC). Elle peut revoir librement l'appréciation des faits sur la base des preuves administrées en première instance (Jeandin, op. cit., n. 6 ad art. 310 CPC ; JdT 2011 Ill 43 et les réf. cit.) et vérifie si le premier juge pouvait admettre les faits qu'il a retenus (ATF 138 III 374 consid. 4.3.1 ; TF 4A_238/2015 du 22 septembre 2015 consid. 2.2).</w:t>
      </w:r>
    </w:p>
    <w:p>
      <w:r>
        <w:rPr>
          <w:b/>
        </w:rPr>
        <w:t>E. 3.1</w:t>
      </w:r>
    </w:p>
    <w:p>
      <w:r>
        <w:t>Dans un premier moyen, l'appelant conteste que l’intimée ait achevé une formation professionnelle dans des délais normaux. Il fait valoir que sa fille aurait débuté à deux reprises la même formation, soit des études de [...], avant de l'interrompre pour décider d'entamer une formation universitaire en [...]. Selon l’appelant, les problèmes psychologiques allégués par l’intimée n’auraient par ailleurs aucun lien avec la procédure de divorce, mais seraient liés à son stress pendant les examens. L’appelant fait en outre valoir que les problèmes rencontrés avec la mère des intimés seraient intervenus au moment où sa fille aurait fréquenté un ami de huit ans son aîné, un dénommé [...], lequel se serait installé dans l’appartement conjugal, aux frais de l'appelant. Celui-ci relève au demeurant qu’après l'obtention de sa maturité professionnelle, l’intimée se serait permis d’effectuer un tour du monde censé lui permettre de faire face à ses difficultés psychologiques. En outre, sa fille aurait accumulé 43'533 fr. 85 du 1 er avril au 31 août 2015 et 41'167 fr. 90 entre les mois de février et août 2016, dont il y aurait lieu de tenir compte.</w:t>
      </w:r>
    </w:p>
    <w:p>
      <w:r>
        <w:rPr>
          <w:b/>
        </w:rPr>
        <w:t>E. 3.2</w:t>
      </w:r>
    </w:p>
    <w:p>
      <w:r>
        <w:t>Les père et mère doivent pourvoir à l'entretien de l'enfant et assumer notamment les frais de sa formation (art. 276 al. 1 CC). L'obligation de subvenir à l'entretien de l'enfant qui n'a pas de formation appropriée à sa majorité doit constituer une solution d'équité entre ce qu'on peut raisonnablement exiger des parents, en fonction de l'ensemble des circonstances, et ce qu'on peut raisonnablement attendre de l'enfant, en ce sens qu'il pourvoie à ses besoins par le produit de son propre travail ou par d'autres moyens (TF 5A_442/2016 du 7 février 2017 consid. 4.1, FamPra.ch 2017 p. 591 ; TF 5C.150/2005 du 11 octobre 2005 consid. 4.1, FamPra.ch 2006 p. 480). Si la demande n'est dirigée que contre l'un des parents, il faut veiller à ce que les facultés du débiteur soient mises à contribution de façon équilibrée par rapport à celles de l'autre parent (TF 5A_186/2012 du 28 juin 2012 consid. 6.2.2). En vertu de l'art. 285 al. 1 CC, dans sa teneur en vigueur au 31 décembre 2016 (art. 13c bis al. 2 Tit. fin. CC), la contribution d'entretien doit correspondre aux besoins de l'enfant ainsi qu'à la situation et aux ressources des père et mère ; il est tenu compte de la fortune et des revenus de l'enfant, ainsi que de la participation de celui des parents qui n'a pas la garde de l'enfant à la prise en charge de ce dernier. Ces différents critères doivent être pris en considération ;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(ATF 116 II 110 consid. 3a). Celui des parents dont la capacité financière est supérieure est par ailleurs tenu, suivant les circonstances, de subvenir à l'entier du besoin en argent si l'autre remplit son obligation essentiellement en nature (ATF 120 II 285 consid. 3a/cc ; TF 5A_96/2017 du 20 juillet 2017 consid. 4.1 ; TF 5A_186/2012 précité consid. 6.2.1). Aux termes de l'art. 277 al. 2 CC, les parents doivent, dans la mesure où les circonstances permettent de l'exiger d'eux, subvenir à l'entretien de l'enfant qui n'a pas encore acquis de formation appropriée à sa majorité jusqu'à ce qu'il ait acquis une telle formation, pour autant qu'elle soit achevée dans des délais normaux (TF 5A_743/2012 du 6 mars 2013 consid. 6.3.2). La formation tend à l'acquisition de ce qui est nécessaire pour que l'enfant puisse se rendre autonome par la pleine exploitation de ses capacités, soit pour faire face par ses propres ressources aux besoins matériels de la vie (ATF 117 II 372 consid. 5b ; De Luze/Page/Stoudmann, Droit de la famille, Code annoté, 2013, n. 2.1 ad art. 277 CC). L'accomplissement d'une formation professionnelle ne doit pas être comprise de manière restrictive et n'englobe pas seulement l'instruction professionnelle proprement dite. Il s'agit davantage d'un plan de vie professionnel, qui peut englober une formation complémentaire postérieure à la majorité, si celle-ci vise à combler les lacunes dans la formation initialement envisagée et suivie (ATF 115 II 123 consid. 4b et c). En règle générale, l'achèvement d'une formation appropriée devrait correspondre à l'épuisement des aptitudes potentielles de l'enfant (Juge délégué CACI 26 novembre 2015/636).</w:t>
      </w:r>
    </w:p>
    <w:p>
      <w:r>
        <w:rPr>
          <w:b/>
        </w:rPr>
        <w:t>E. 3.3</w:t>
      </w:r>
    </w:p>
    <w:p>
      <w:r>
        <w:t>En l'espèce, il ressort du dossier de la cause que l’intimée a toujours été une très bonne élève, obtenant sa maturité avec d'excellents résultats et plusieurs prix. Certes, elle a tenté à deux reprises de poursuivre une formation en [...], interrompue pour des motifs psychologiques, ce qui ne suffit pas à retenir qu'elle n'achèverait pas, globalement, une formation dans des délais normaux. Comme l'a retenu le premier juge, on ne peut pas remettre en cause la bonne volonté de l'intimée dès lors qu'elle s'est, à chaque fois, exmatriculée lorsqu'elle suspendait ses études du fait de son état de souffrance psychologique, qu’elle a alors subvenu seule à ses propres besoins et qu’elle a renoncé à toute contribution de l'appelant lorsqu'elle n'était pas à l'université. Peu importe, à cet égard, que ses soucis de santé soient dus, ou non, au conflit conjugal qui opposait ses parents. L'argumentaire de l'appelant s'agissant du soi-disant lien de causalité entre les fréquentations de l’intimée au moment de la séparation du couple parental et des événements familiaux qui s'en sont suivis est au demeurant totalement dénué de pertinence dans le cadre de l'examen de l'acquisition d'une formation appropriée. Il suffit de considérer que l’intimée n'était pas en mesure de mener à bien son cursus universitaire à ce moment-là. Enfin, s'il peut être pertinent de considérer, au vu des principes exposés ci-dessus, que l'intimée a complètement changé de perspectives professionnelles en entamant une nouvelle formation universitaire en [...], l'appelant ne saurait s'en prévaloir, dès lors que l'intimée s'est engagée à financer elle-même ce nouveau cursus et qu'il n'aura été tenu de contribuer à l'entretien de sa fille que sur dix mois en tout, ce qui est bien en deçà du temps nécessaire à l'achèvement d'une seule formation, quelle qu'elle soit. On ne saurait non plus tenir compte des revenus acquis par l’intimée pendant ses exmatriculations, dès lors qu'ils ont manifestement été nécessaires pour couvrir le manco mensuel de 1'780 fr. 10 qu’elle a accusé par le passé (2'980 fr. 10 de charges – 1'200 fr. de pension), ainsi que pour financer ses futures études.</w:t>
      </w:r>
    </w:p>
    <w:p>
      <w:r>
        <w:rPr>
          <w:b/>
        </w:rPr>
        <w:t>E. 4.1</w:t>
      </w:r>
    </w:p>
    <w:p>
      <w:r>
        <w:t>et la réf., FamPra.ch 2017 p. 591). Si l'inexistence de celles-ci attribuée au seul comportement du demandeur d'aliments peut justifier un refus de toute contribution d'entretien, la jurisprudence exige toutefois que l'attitude de l'enfant lui soit imputable à faute, celle-ci devant être appréciée subjectivement ; l'enfant doit avoir violé gravement les devoirs qui lui incombent en vertu de l'art. 272 CC et, dans les cas où les relations personnelles sont rompues, avoir provoqué la rupture par son refus injustifié de les entretenir, son attitude gravement querelleuse ou son hostilité profonde (ATF 120 II 177 consid. 3c ; TF 5A_585/2018 du 24 août 2018 consid. 3.1.1 ; TF 5A_664/2015 du 25 janvier 2016 consid. 3.1, FamPra.ch 2016 p. 519). Admettre, dans de telles circonstances, le droit à l'entretien après la majorité reviendrait en effet à réduire le débiteur au rôle de parent payeur, ce que n'a assurément pas voulu le législateur (ATF 113 II 374 consid. 2 ; ATF 120 II 177 consid. 3c et les arrêts cités ; TF 5C.205/2004 du 8 novembre 2004 consid. 5.1, FamPra.ch 2005 p. 414). En ce domaine, le juge jouit d'un large pouvoir d'appréciation (TF 5A_585/2018 précité consid. 3.1.3). En revanche, lorsque l'enfant a contribué à la rupture des relations, sans que sa responsabilité soit exclusive, on peut exiger du parent qu'il assume l'entretien (TF 5A_627/2013 du 11 décembre 2013 consid. 6.1.2, FamPra.ch 2014 p. 488 ; TF 5A_639/2013 du 21 février 2014 consid. 5.1). De même, lorsque le refus de contacts personnels est la conséquence d'une blessure psychologique grave causée par le divorce des parents, le refus de tout entretien serait choquant (Meier/Stettler, Droit de la filiation, 5 e éd. 2014, n. 1097). Par analogie avec les art. 125 al. 3 et 329 al. 2 CC, la doctrine admet que la contribution d'entretien due sur la base de l'art. 277 al. 2 CC puisse être réduite dans son montant ou sa durée, compte tenu de l'ensemble des circonstances, notamment en raison de la rupture des relations personnelles sans faute exclusive imputable au parent débiteur d'aliments ou à l'enfant majeur (TF 5A_560/2011 du 25 novembre 2011 consid. 4.1.2 et les réf. doctrinales). Cette interprétation de l'art. 277 al. 2 CC est confortée par le Message du Conseil fédéral du 5 juin 1974 concernant la modification du code civil suisse (FF 1974 II 1 ss, p. 58). Pour sa part, le Tribunal fédéral a laissé ouverte la question de la réduction du montant de la contribution d'entretien dans le cadre de l'art. 277 al. 2 CC (ATF 111 II 413 consid. 5a ; TF 5A_64/2015 du 2 avril 2015 consid. 5.1.2). Dans l'arrêt 5A_179/2015 précité, s'il n'a pas tranché la question dans son principe, il a cependant mentionné (cf. consid. 7.3) que la réduction de la contribution d'entretien prévue par la décision attaquée n'était pas critiquable (TF 5A_664/2015 précité consid. 3.1 et les réf. citées).</w:t>
      </w:r>
    </w:p>
    <w:p>
      <w:r>
        <w:rPr>
          <w:b/>
        </w:rPr>
        <w:t>E. 4.2</w:t>
      </w:r>
    </w:p>
    <w:p>
      <w:r>
        <w:t>Selon la jurisprudence du Tribunal fédéral, l'obligation d'entretien des père et mère à l'égard de leur enfant majeur, prévue par l'art. 277 al. 2 CC, dépend expressément de l'ensemble des circonstances et notamment des relations personnelles entre les parties (cf. TF 5A_442/2016 précité consid.</w:t>
      </w:r>
    </w:p>
    <w:p>
      <w:r>
        <w:rPr>
          <w:b/>
        </w:rPr>
        <w:t>E. 4.3</w:t>
      </w:r>
    </w:p>
    <w:p>
      <w:r>
        <w:t>En l'espèce, il ressort du dossier que les intimés ont été très affectés par les circonstances de la séparation de leurs parents et qu'ils n’ont entrepris aucune démarche pour renouer le contact avec leur père. L'appelant, quant à lui, plaide qu'il ne serait pas exclusivement responsable de la rupture des relations, sans toutefois apporter aucun élément factuel qui démontrerait qu'il a tenté, de son côté, de faire le nécessaire pour que les liens avec ses enfants puissent se recréer. A l'audience d'appel du 18 décembre 2015, l'intimé a déclaré qu'il n'avait reçu aucun appel ou SMS de son père depuis son départ du domicile conjugal, ce que l'appelant a admis, et il ne ressort pas de l'instruction que l'appelant aurait fait le nécessaire depuis lors. Celui-ci porte dès lors une part de responsabilité dans la détérioration des relations avec ses enfants. Quant à la question de savoir s'il y a lieu de quantifier les parts de responsabilité pour pondérer la contribution d'entretien, comme requis par l'appelant, il suffit de constater que les montants requis par les deux intimés dans le cadre de la procédure sont inférieurs à ceux qui auraient pu être alloués, le premier juge n'ayant pas statué ultra petita , et que l'intimée s'est contentée de réclamer le financement de dix mois universitaires par lassitude. Toute pondération supplémentaire en fonction des parts de responsabilité de chacun, comme l'admet le Tribunal fédéral dans certains cas, serait dès lors parfaitement inéquitable en l’espèce.</w:t>
      </w:r>
    </w:p>
    <w:p>
      <w:r>
        <w:rPr>
          <w:b/>
        </w:rPr>
        <w:t>E. 5</w:t>
      </w:r>
    </w:p>
    <w:p>
      <w:r>
        <w:t>mai 2015 consid. 3.2 ; TF 5A_524/2017 du 9 octobre 2017 consid. 5.1.3).</w:t>
      </w:r>
    </w:p>
    <w:p>
      <w:r>
        <w:rPr>
          <w:b/>
        </w:rPr>
        <w:t>E. 5.1</w:t>
      </w:r>
    </w:p>
    <w:p>
      <w:r>
        <w:t>L'appelant conteste également le fait qu'un revenu hypothétique de 11'111 fr. lui soit imputé. Il souligne que, dans un précédent jugement, un revenu de 9'800 fr. avait été retenu et fait valoir qu’aucun élément ne permettrait d'expliquer cette différence. Selon l’appelant, il n'aurait pas été démontré qu’il avait la possibilité effective de réaliser le montant retenu et la seule référence à des statistiques suisses serait insuffisante. L’appelant fait valoir qu’il ne maîtriserait pas les outils professionnels de sa profession, si bien qu'il serait exclu qu'il soit engagé dans un atelier d'architecture. Il indique qu’il n’aurait pas d’autre choix que de mettre en valeur son terrain de la Commune de [...] pour assainir sa situation financière. Par ailleurs, il soutient que si l'on se référait à la CCT des bureaux d'architectes et ingénieurs vaudois, il n'aurait droit qu'à un revenu de 6'000 fr. net par mois.</w:t>
      </w:r>
    </w:p>
    <w:p>
      <w:r>
        <w:rPr>
          <w:b/>
        </w:rPr>
        <w:t>E. 5.2</w:t>
      </w:r>
    </w:p>
    <w:p>
      <w:r>
        <w:t>La prétention d'entretien de l'enfant majeur a perdu son caractère exceptionnel. On peut dès lors exiger du parent débiteur qu'il honore ses obligations financières et qu'il exploite l'entier de sa capacité de réaliser un revenu (TF 5A_179/2015 du 29 mai 2015 consid. 5.2, FamPra.ch 2015 p. 997). Ainsi, il n'est pas exclu, selon les circonstances, d'attribuer au parent débiteur un revenu hypothétique (BJM 2004 p. 29), bien qu'une certaine prudence soit de mise à cet égard (CREC II 13 janvier 2011/12 ; CACI 14 octobre 2011/303). Le motif pour lequel le débirentier a renoncé à un revenu, ou à un revenu supérieur, est en règle générale sans importance. En effet, l'imputation d'un revenu hypothétique ne revêt pas un caractère pénal. Il s'agit simplement d'inciter la personne à réaliser le revenu qu'elle est en mesure de se procurer et – cumulativement (ATF 137 III 118 consid. 2.3, JdT 2011 II 486) – dont on peut raisonnablement exiger d'elle qu'elle l'obtienne afin de remplir ses obligations (ATF 128 III 4 consid. 4a ; TF 5A 290/2010 du 28 octobre 2010 consid. 3.1, SJ 2011 1177). Lorsqu'il impute au débirentier un revenu hypothétique supérieur à celui qu'il déclare effectivement percevoir,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des revenus supérieurs en travaillant ; il doit préciser le type d'activité professionnelle qu'elle peut raisonnablement devoir accomplir (TF 5A_99/2011 du 26 septembre 2011 consid. 7.4.1 ; TF 5A_218/2012 du 29 juin 2012 consid. 3.3.3, FamPra.ch 2012 p. 1099 ; TF 5A 748/2012 du 15 mai 2013 consid. 4.3.2.1 ; TF 5A_256/2015 du 13 août 2015 consid. 3.2.2 ; TF 5A_454/2017 du 17 mai 2018 consid. 6.1.1, non publié in ATF 144 III 377). Ensuite, le juge doit établir si la personne a la possibilité effective d'exercer l'activité ainsi déterminée et quel revenu elle peut en obtenir, compte tenu des circonstances subjectives susmentionnées, ainsi que du marché du travail ; il s'agit là d'une question de fait (TF 5A_ 20/2013 du 25 octobre 2013 consid. 3.1 ; ATF 128 III 4 consid. 4c/bb ; ATF 126 III 10 consid. 2b). Pour arrêter le montant du salaire, le juge peut éventuellement se baser sur l'enquête suisse sur la structure des salaires, réalisée par l'Office fédéral de la statistique (OFS) ou sur d'autres sources (conventions collectives de travail ; Mühlhauser, Das Lohnbuch 2014, Mindestlöhne sowie orts- und berufübliche Löhne in der Schweiz, 2014 ; ATF 137 III 118 consid. 3.2, JdT 2011 II 486 ; TF 5A_99/2011 du 26 septembre 2011 consid. 7.4.1 non publié à l’ATF 137 III 604 ; TF 5A_860/2011 du 11 juin 2012 consid. 4.1), pour autant qu'ils soient pertinents par rapport aux circonstances d'espèce (TF 5A_112/2013 du 25 mars 2013 consid. 4.1.3 ; TF 5A_764/2017 du 7 mars 2018 consid. 3.2). Savoir si et dans quelle mesure il peut être exigé du débirentier qu'il entame sa fortune pour assurer l'entretien courant doit être apprécié au regard des circonstances concrètes. Sont notamment d'une importance significative le standard de vie antérieur, lequel peut éventuellement devoir être diminué, l'importance de la fortune et la durée pendant laquelle il est nécessaire de recourir à celle-ci (TF 5A_372/2015 du 29 septembre 2015 consid. 2.1.2 ; TF 5A_25/2015 du</w:t>
      </w:r>
    </w:p>
    <w:p>
      <w:r>
        <w:rPr>
          <w:b/>
        </w:rPr>
        <w:t>E. 5.3</w:t>
      </w:r>
    </w:p>
    <w:p>
      <w:r>
        <w:t>En l’espèce, il n'est pas contesté que l'appelant bénéficie d'une formation d'architecte ETS et qu’à 57 ans, il dispose d'une importante expérience professionnelle. Si, dans le cadre des mesures provisionnelles et d'un examen prima facie , il avait été retenu un salaire hypothétique de 9'800 fr., le premier juge a précisément déterminé comment il arrivait au montant de 11'111 fr., à savoir que, selon le calculateur de salaires « Salarium » créé par l'Office fédéral de la statistique (OFS), un homme de 57 ans, diplômé d'une haute école spécialisée (HES), travaillant à 100 % en tant qu'architecte (spécialiste des sciences techniques ; cadre supérieur et moyen), dans la région lémanique, peut prétendre à un salaire mensuel de 13'071 fr. brut (valeur médiane), soit environ 11'111 fr. net (en comptant 15 % de charges sociales). Le premier juge a ajouté que, selon ces mêmes données, l'architecte ETS peut même prétendre jusqu'à 14'736 fr. brut par mois (valeur des 25 % qui gagnent plus que la valeur médiane), soit environ 12'526 fr. net. Ce raisonnement ne prête pas le flanc à la critique. L'appelant fait référence à la CCT, mais les montants prévus par celle-ci représentent le salaire minimum auquel peut prétendre un jeune architecte, et non l'appelant. Ce dernier est à présent censé bénéficier d'une longue expérience dans le domaine et peut ainsi exiger une rémunération bien plus élevée, sans se retrancher derrière ses soi-disant incompétences avec les nouveaux outils informatiques.</w:t>
      </w:r>
    </w:p>
    <w:p>
      <w:r>
        <w:rPr>
          <w:b/>
        </w:rPr>
        <w:t>E. 6.1</w:t>
      </w:r>
    </w:p>
    <w:p>
      <w:r>
        <w:t>L'appelant conteste également la manière dont ses charges ont été calculées. Selon lui, le premier juge aurait tout d'abord dû tenir compte d'une base mensuelle pour une personne seule, dans la mesure où son fils J.________ n'exercerait aucune activité professionnelle et qu’il ne serait pas en mesure de contribuer aux charges courantes. Il aurait également dû tenir compte d'un loyer de 3'150 fr. par mois, dès lors que c'est celui qu'il serait amené à payer s'il en avait les moyens. En outre, l’appelant soutient que dès lors qu'un revenu hypothétique lui a été imputé, il aurait fallu tenir compte de frais d'acquisition du revenu par 1'000 fr. à 1'500 fr., ainsi que d’une charge fiscale, représentant 500 fr. par mois pour un revenu de 6'000 fr. et 2'500 fr. par mois pour un revenu de 11'000 francs. L’appelant fait encore valoir que le premier juge aurait dû tenir compte, dans son minimum vital, de frais de loisirs, à l’instar de ce qu’il a fait pour l’intimé, ainsi que des frais nécessaires à l’entretien de l’enfant majeur J.________, à raison d’une part égale à celle retenue pour les intimés.</w:t>
      </w:r>
    </w:p>
    <w:p>
      <w:r>
        <w:rPr>
          <w:b/>
        </w:rPr>
        <w:t>E. 6.2</w:t>
      </w:r>
    </w:p>
    <w:p>
      <w:r>
        <w:t>L’obligation d’entretien après la majorité doit se situer dans un rapport d’équité entre ce que l’on peut raisonnablement exiger des parents, en fonction des circonstances, et ce que l’on peut raisonnablement attendre de l’enfant, en termes de contribution à son propre entretien par le produit de son travail ou d’autres moyens (TF 5A_330/2014 du 30 octobre 2014 consid. 8.2.1 ; TF 5A_186/2012 précité consid. 6.2.1). Lorsque le jeune adulte est dépendant de l’aide de ses parents, il doit adapter son niveau de vie et ses exigences à la contribution qui peut lui être fournie sans sacrifice excessif (Meier/Stettler, op. cit., n. 1211 p. 795 et la réf. citée). On ne peut en principe exiger un tel entretien que dans la mesure où, après prise en compte de la contribution d’entretien à l’enfant majeur, le débiteur dispose encore d’un revenu qui dépasse le minimum vital au sens large, dans lequel on aura ajouté un supplément forfaitaire de 20 % au montant de base (Meier/Stettler, op. cit., n. 1211 p. 795 s et les réf. citées). Selon la jurisprudence du Tribunal fédéral, la majoration de 20 % ne s'applique qu'à la seule base mensuelle et non aux autres postes du minimum vital (cf. TF 5A_56/2011 du 25 août 2011 consid. 3.4.1 ; TF 5A_785/2010 du 30 juin 2011 consid. 4.1 et 4.2 ; TF 5A_476/2010 du 7 septembre 2010 consid. 2.2.3 ; TF 5C.107/2005 du 13 avril 2006 consid. 4.2.1). L'obligation d'entretien du conjoint l'emporte sur celle de l'enfant majeur. Ce principe a été posé pour régler les situations dans lesquelles la capacité contributive de l'époux débirentier n'est pas suffisante pour couvrir à la fois les prétentions du conjoint et celles des enfants majeurs (TF 5A_823/2014 du 3 février 2015 consid. 5.4 ; TF 5A_36/2016 du 29 mars 2016 consid. 4.1). Les principes du concubinage doivent être appliqués mutatis mutandis en cas de colocation entre adultes. Ainsi, même en l'absence de soutien financier, il faut prendre en compte ce qui s'avère une (simple) « communauté de toit et de table », qui entraîne des économies pour chacun des adultes, et tenir compte de l'avantage économique qui en découle (cf. TF 5A_601/2017 du 17 janvier 2018 consid. 6.3.2.1). Les coûts communs (montant de base, loyer, etc.) sont en principe divisés en deux, même si la participation du nouveau partenaire – respectivement du colocataire – est moindre (ATF 138 Ill 97 consid. 2.3.2, JdT 2012 II 479) ou lorsque les économies de coût ne sont pas effectivement réalisées (TF 5A_724/2016 du 19 avril 2017 consid. 4.3). La capacité contributive doit être appréciée en fonction des charges effectives du débirentier, étant précisé que seuls les montants réellement acquittés peuvent être pris en compte (ATF 121 III 20 consid. 3a ; TF 5A_277/2009 du 6 juillet 2009 consid. 4.4.2 ; TF 5A_860/2011 du 11 juin 2012 consid. 2.1). Les frais de repas pris hors domicile peuvent être pris en compte à raison de 9 à 11 fr. par jour (Lignes directrices pour le calcul du minimum vital du droit des poursuites selon l'art. 93 LP du 1 er juillet 2009 ; CACI 5 février 2018/66 consid. 4.3.2). S’agissant des frais de transport, la jurisprudence retient que si la situation des parties est serrée, les frais de véhicule ne peuvent être pris en considération que si celui-ci est indispensable au débiteur personnellement – en raison de son état de santé ou de la charge de plusieurs enfants à transporter – ou nécessaire à l'exercice de sa profession, l'utilisation des transports publics ne pouvant pas être raisonnablement exigée de l'intéressé (TF 5A_845/2012 du 2 octobre 2013 consid. 3.3 et les réf. citées ; TF 5A_703/2011 du 7 mars 2012 consid. 4.2). Lorsqu'on impute un revenu hypothétique au débirentier, sa charge fiscale doit être estimée en fonction du revenu hypothétique et il doit être tenu compte de ce montant pour établir sa situation financière (TF 5A_679/2011 du 10 avril 2012 consid. 10.2 ; TF 5A_782/2016 du 31 mai 2017 consid. 6).</w:t>
      </w:r>
    </w:p>
    <w:p>
      <w:r>
        <w:rPr>
          <w:b/>
        </w:rPr>
        <w:t>E. 6.3</w:t>
      </w:r>
    </w:p>
    <w:p>
      <w:r>
        <w:t>En l'espèce, l'appelant vit avec son fils aîné, majeur, ce qui crée une communauté de toit qui justifie que la base mensuelle soit adaptée en conséquence, comme l'a fait le premier juge. C’est du reste également une base mensuelle de 850 fr. qui a été prise en compte dans les charges des intimés, du fait de leur vie commune avec leur mère. S'agissant des charges de loyer, l'appelant a plaidé à plusieurs reprises, dans le cadre de la procédure, qu'il fallait retenir un montant de 3'150 francs. Or il admet, dans le cadre de son appel, que c'est la somme qu'il serait amené à payer s'il en avait les moyens. Pour ce motif déjà, il n'y a pas lieu de tenir compte de ce montant, dès lors qu'il ne s'agit pas d'une charge effective, celle-ci n'ayant pas pu être établie avec certitude. Dans son dernier budget au 1 er janvier 2018, l’appelant a, à nouveau, allégué plusieurs loyers parmi ses charges privées et professionnelles, sans qu'il soit possible de déterminer quelle en est la part du loyer privé, et dans un autre budget prévisionnel, il a indiqué que sa part privée du loyer était de 300 francs. Devant la Cour de céans, l’appelant ne conteste pas avoir établi ce budget, ni ne démontre s'acquitter effectivement d'un montant supérieur. En ce qui concerne les frais fictifs d'acquisition du revenu, l'appelant les évalue approximativement à 1'000 fr. ou 1'500 fr., sans toutefois fournir de précisions à cet égard. En tout état de cause, il sied toutefois de relever qu’ après la prise en compte d’un revenu hypothétique de 11'111 fr. et la déduction de son minimum élargi de 1'950 fr. 60, d’une contribution d’entretien maximale en faveur de son épouse de 3'050 fr. et des deux contributions d’entretien de 1'200 fr. et de 1'800 fr. en faveur des intimés, l’appelant dispose encore d’ un disponible de 3'110 fr. 40 (11'111 fr. – 1'950 fr. 60 – 3'050 fr. – 1'200 fr. – 1'800 fr.), lui permettant manifestement de couvrir d’éventuels frais d’acquisition du revenu et d’assurer le paiement de sa charge fiscale. Ce disponible doit également lui permettre de couvrir des frais de loisirs par 200 fr. – soit ceux retenus dans le budget de l’intimé par le premier juge –, étant précisé que, s’agissant des frais d’entretien de l’enfant majeur J.________, celui-ci a reçu une bourse d’études entre 2016 à 2018 et que l’appelant n’a pas allégué les charges de son aîné, qui sont dès lors censées avoir été couvertes par les aides étatiques perçues. Au surplus, il convient quand même de souligner qu'au 31 décembre 2013, l'appelant disposait d'une fortune dont la valeur imposable s'élevait à 2'178'312 francs. Par ailleurs, selon l'expertise au dossier, il a touché 10'000'000 fr. d'une vente d'un terrain à [...] en 2009 et s'il ne subsistait qu’un solde de 7'627 fr. à la fin 2014 sur son compte immeuble, c'est au motif que 6'155'659 fr. avaient été réinvestis dans son activité indépendante et que 3'750'467 fr. avaient été consacrés à des dépenses privées. Interrogé le 12 novembre 2014, l’expert-comptable Q.________ a indiqué qu'il avait été question d'investissements dans des livres anciens pour plus de 1'000'000 fr., ainsi que d’achats d'œuvres d'art et de meubles, mais pas dans la même proportion. Ainsi, même si l'appelant ne dispose actuellement pas des liquidités pour faire face à ses obligations familiales, il est raisonnable, au vu des circonstances d’espèce, de reconnaître les créances dont les intimés disposent contre l’appelant (79'200 fr. pour l’intimé et 12'000 fr. pour l’intimée) à titre de remboursement très partiel des dépenses nécessaires à l'acquisition de leur formation.</w:t>
      </w:r>
    </w:p>
    <w:p>
      <w:r>
        <w:rPr>
          <w:b/>
        </w:rPr>
        <w:t>E. 7.1</w:t>
      </w:r>
    </w:p>
    <w:p>
      <w:r>
        <w:t>L'appelant conteste que les frais d'expertise soient mis à sa charge. Il soutient que l’expertise n'aurait été d'aucune utilité dès lors qu'un revenu hypothétique lui a été imputé. Selon lui, les pièces qu’il a fournies auraient été suffisantes pour établir son absence de revenu.</w:t>
      </w:r>
    </w:p>
    <w:p>
      <w:r>
        <w:rPr>
          <w:b/>
        </w:rPr>
        <w:t>E. 7.2</w:t>
      </w:r>
    </w:p>
    <w:p>
      <w:r>
        <w:t>Les frais et dépens sont répartis entre les parties en application des art. 106 et 107 CPC, la règle étant que les frais sont en principe mis à la charge de la partie qui succombe (art. 106 al. 1 CPC). Le tribunal est toutefois libre de s'écarter de ces règles et de les répartir selon sa libre appréciation, en statuant selon les règles du droit et de l'équité (art. 4 CC ; TF 5A_261/2013 du 19 septembre 2013 consid. 3.3), dans les hypothèses prévues par l'art. 107 CPC, notamment lorsque le litige relève du droit de la famille (art. 107 al. 1 let. c CPC) et lorsque des circonstances particulières rendent la répartition en fonction du sort de la cause inéquitable (art. 107 al. 1 let. f CPC). Il résulte du texte clair de l'art. 107 CPC que cette disposition est de nature potestative. Le tribunal dispose d'un large pouvoir d'appréciation, non seulement quant à la manière dont les frais seront répartis, mais également quant aux dérogations à la règle générale de l'art. 106 CPC (ATF 139 III 358 consid. 3 ; CREC 14 octobre 2013/347 ; CREC 13 septembre 2012/321).</w:t>
      </w:r>
    </w:p>
    <w:p>
      <w:r>
        <w:rPr>
          <w:b/>
        </w:rPr>
        <w:t>E. 7.3</w:t>
      </w:r>
    </w:p>
    <w:p>
      <w:r>
        <w:t>En l'espèce, il est exact que l'expertise a été requise par les intimés. Cela étant, contrairement à ce que soutient l'appelant, l’expertise était nécessaire pour faire le jour sur sa situation financière, dès lors que nonobstant les nombreuses pièces produites, il n'est pas possible, à la lecture de celles-ci, de déterminer s’il perçoit un revenu de son entreprise. Au demeurant, dans le cadre de la procédure, les intimés étaient légitimés à obtenir des renseignements précis sur la manière dont les 10'000'000 fr. dont disposait leur père avaient été, le cas échéant, dépensés et le premier juge était autorisé, compte tenu de son pouvoir d'appréciation, à faire supporter les frais d'expertise à l'appelant . La décision entreprise échappe aussi à la critique à cet égard.</w:t>
      </w:r>
    </w:p>
    <w:p>
      <w:r>
        <w:rPr>
          <w:b/>
        </w:rPr>
        <w:t>E. 8</w:t>
      </w:r>
    </w:p>
    <w:p>
      <w:r>
        <w:t>L'appelant conteste enfin l’allocation de dépens de première instance aux intimés, dès lors que ceux-ci ont réduit leurs conclusions initiales, ce dont le premier juge aurait dû tenir compte. On peut se contenter de constater, à cet égard, que les dépens ont été arrêtés au même montant que celui figurant sur la liste des opérations produite par le conseil des intimés dans le cadre de l’assistance judiciaire. Or ce montant était un minimum, dès lors que le paiement de l'indemnité par l'Etat est subsidiaire à l'obtention des dépens. L'appelant se contente de soutenir que les intimés auraient réduit leurs conclusions et que les dépens seraient dès lors trop élevés, alors même que la réduction des conclusions est possible en tout état de cause (art. 227 al. 3 CPC). Si l'on se réfère à l’art. 4 TDC (tarif des dépens en matière civile du 23 novembre 2010 ; BLV 270.11.6), il apparaît que les prétentions réduites, ayant ramené la valeur litigieuse à 91'200 fr. (1'800 fr. x 44 mois + 1'200 fr. x 10 mois), permettent l’octroi de dépens se situant entre 3'000 fr. et 15'000 francs. Cela étant, encore une fois, il faut tenir compte du fait que le premier juge a été limité par les conclusions des demandeurs alors qu'un montant de 115'441 fr. 80 aurait pu être alloué, ce qui donnait droit à une fourchette de dépens comprise entre 6'000 fr. et 25'000 francs. Pour tous ces éléments et compte tenu du pouvoir d'appréciation du premier juge dans le cadre des art. 106 ss CPC, le moyen est mal fondé.</w:t>
      </w:r>
    </w:p>
    <w:p>
      <w:r>
        <w:rPr>
          <w:b/>
        </w:rPr>
        <w:t>E. 9</w:t>
      </w:r>
    </w:p>
    <w:p>
      <w:r>
        <w:t>Peuvent être considérés comme des appels manifestement infondés ceux qui ne contiennent visiblement aucun grief pertinent contre la décision de première instance et ceux qui se révèlent déjà dépourvus de toute chance de succès lors de l’examen sommaire (ATF 143 III 153 consid. 4.6 et les réf. citées, SJ 2018 I 68). Tel est le cas du présent appel, qui doit en définitive être rejeté selon l'art. 312 al. 1 in fine CPC, le jugement attaqué étant confirmé. Par conséquent, les frais judiciaires de deuxième instance, arrêtés à 600 fr. (art. 63 al. 1 TFJC [tarif des frais judiciaires civils du 28 septembre 2010 ; BLV 270.11.5]), seront mis à la charge de l’appelant, qui succombe (art. 106 al. 1 CPC). Il n’y a pas lieu à l’allocation de dépens de deuxième instance, les intimés n’ayant pas été invités à se déterminer sur l’acte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