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843 vom 2. Oktober 2019</w:t>
      </w:r>
    </w:p>
    <w:p>
      <w:r>
        <w:t>VD Tribunal cantonal, 2019-10-02, FR</w:t>
      </w:r>
    </w:p>
    <w:p>
      <w:r>
        <w:rPr>
          <w:b/>
        </w:rPr>
        <w:t xml:space="preserve">Quelle: </w:t>
      </w:r>
      <w:r>
        <w:t>https://mcp.opencaselaw.ch/entscheid/vd_findinfo_HC___2019___843</w:t>
      </w:r>
    </w:p>
    <w:p>
      <w:r>
        <w:t>FR: VD_FINDINFO HC / 2019 / 843 du 2 octobre 2019</w:t>
      </w:r>
    </w:p>
    <w:p>
      <w:r>
        <w:t>IT: VD_FINDINFO HC / 2019 / 843 del 2 ottobre 2019</w:t>
      </w:r>
    </w:p>
    <w:p>
      <w:pPr>
        <w:pStyle w:val="Heading2"/>
      </w:pPr>
      <w:r>
        <w:t>Regeste</w:t>
      </w:r>
    </w:p>
    <w:p>
      <w:r>
        <w:t>DIVORCE, OBLIGATION D'ENTRETIEN, REVENU HYPOTHÉTIQUE, ÂGE, FORMATION PROFESSIONNELLE, ASSURANCE-VIE | 125 CC, 317 al. 1 CPC (CH)</w:t>
      </w:r>
    </w:p>
    <w:p>
      <w:pPr>
        <w:pStyle w:val="Heading2"/>
      </w:pPr>
      <w:r>
        <w:t>Erwägungen</w:t>
      </w:r>
    </w:p>
    <w:p>
      <w:r>
        <w:rPr>
          <w:b/>
        </w:rPr>
        <w:t>E. 3</w:t>
      </w:r>
    </w:p>
    <w:p>
      <w:r>
        <w:t>En ce qui concerne la situation professionnelle des parties au temps du mariage et de la vie commune, il ressort de leurs déclarations et des pièces produites que U.________ a toujours travaillé, assurant seul l'entretien pécuniaire des siens. Quant à M.________, bien qu'au bénéfice d'un diplôme de l'Ecole Normale (devenue depuis lors la Haute école pédagogique) obtenu en 1982, elle n'a pas pratiqué sa profession d'enseignante entre 1987 et 2010, année où elle a débuté une activité à 30 %. Entre 1987, soit l'année du mariage des parties, et 2010, elle a notamment exercé les activités suivantes : - agent de voyage : grâce à une formation suivie à Toronto, pendant environ un an entre 1987 et 1988 à Bâle ; - styliste-modéliste : grâce à une formation suivie à Paris entre 1988 et 1991. Dans les années qui ont suivi, elle a disposé d'un atelier au domicile conjugal de [...] aux fins de pratiquer cette activité (ainsi que diverses autres activités artistiques), dont elle n'a cependant jamais pu vivre, comme cela ressort notamment d'un courrier du 10 mars 2003 au nom de M.________ faisant état de pertes de l'ordre de 20'000 fr. sur les trois années précédentes. M.________ a débuté en 2010 une activité d'enseignante en travaux manuels à un taux de 30 %. Elle a ensuite augmenté son taux d'activité à 50 % en 2013, ce qui aurait été mal accueilli par U.________ en raison des conséquences fiscales d'une rentrée d'argent supplémentaire. Les témoins [...], [...] et [...] ont confirmé que l'augmentation du taux d'activité de l’épouse avait été, à l'époque, source de conflit entre les parties et que l’intéressée ne travaillait pas durant le mariage, hormis ses activités accessoires artistiques. Il résulte ainsi du dossier que l'organisation des époux pendant la vie commune se voulait traditionnelle, en ce sens que le rôle de l’époux était de contribuer financièrement à l'entretien de la famille tandis que l’épouse se chargeait de la tenue du ménage et de l'éducation de leur enfant, ne travaillant que durant de brèves périodes et/ou à une faible intensité.</w:t>
      </w:r>
    </w:p>
    <w:p>
      <w:r>
        <w:rPr>
          <w:b/>
        </w:rPr>
        <w:t>E. 3.1</w:t>
      </w:r>
    </w:p>
    <w:p>
      <w:r>
        <w:t>L’appelante               principale reproche aux premiers juges de ne pas avoir pris en compte l’entier des frais résultant de son budget qu’elle estime à 9'882 fr. 95. Elle soutient en particulier que les frais médicaux auraient dû être admis à hauteur de 4'517 fr. et non de 1'158 fr. ; même si cela ne ressort pas clairement des moyens, on comprend qu’elle requiert qu’on retienne l’entier de son budget, en particulier des frais dentaires (3'107 fr. 70 et 1'337 fr. 80), des frais de lunettes (373 fr.), un abonnement de gym Pilates (66 fr. par mois), la totalité des frais de véhicule automobile (200 fr. non pris en compte), des frais de garage, des frais d’amortissement du véhicule automobile et la totalité des frais de nourriture (400 fr. seulement au lieu des 600 fr. allégués). L’appelante principale fait également valoir qu’il conviendrait de diminuer le budget de l’intimé des charges liées à l’entretien de leur fils. Elle soutient en substance que la situation serait choquante au vu du principe d’égalité entre les époux, l’intimé ayant encore la possibilité de faire d’importantes économies, tandis qu’elle-même serait dans l’impossibilité de couvrir des dépenses indispensables, telles des frais dentaires ou de lunettes, ainsi que des frais d’ébéniste ou liés au changement d’un véhicule. L’appelante principale soutient enfin qu’il y aurait lieu de tenir compte de la charge des cotisations au 3 e pilier, la constitution d’une telle prévoyance étant nécessaire pour pallier les conséquences du divorce.</w:t>
      </w:r>
    </w:p>
    <w:p>
      <w:r>
        <w:rPr>
          <w:b/>
        </w:rPr>
        <w:t>E. 3.2.1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 ATF 137 Ill 102 consid. 4.1.1 et la réf. cit.). Une contribution d'entretien est due en vertu du principe de la solidarité si le mariage a eu une influence concrète sur les conditions d'existence de l'époux (lebensprägende Ehe),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 ATF 135 III 59 consid.</w:t>
      </w:r>
    </w:p>
    <w:p>
      <w:r>
        <w:rPr>
          <w:b/>
        </w:rPr>
        <w:t>E. 3.2.2</w:t>
      </w:r>
    </w:p>
    <w:p>
      <w:r>
        <w:t>L’entretien convenable de l’art. 125 al. 1 CC comprend la constitution d’une prévoyance vieillesse appropriée (ATF 135 III 158 consid. 4). Le but est de compenser les pertes futures en matière de prévoyance liées aux conséquences de l'impact décisif du mariage (ATF 135 III 158 consid. 4.1 ; 129 III 7 consid. 3.1.2; TF 5A_181/2017 du 27 septembre 2017 consid. 3.3). Cela concerne la compensation des éventuelles pertes futures après divorce lorsqu’en présence d’un mariage ayant eu une influence concrète sur la situation financière d’un époux, ce dernier ne peut pas, après le divorce, exercer d’activité lucrative, ou ne peut exercer qu’une activité limitée, et qu’il ne peut pas, de ce fait, verser les cotisations complètes pour sa propre prévoyance vieillesse (TF 5A_421/2016 du 7 février 2017 consid. 2.3.2).</w:t>
      </w:r>
    </w:p>
    <w:p>
      <w:r>
        <w:rPr>
          <w:b/>
        </w:rPr>
        <w:t>E. 3.3</w:t>
      </w:r>
    </w:p>
    <w:p>
      <w:r>
        <w:t>En l’espèce, le mariage a eu un impact décisif sur la situation économique de l’appelante principale, ce que les parties ne contestent pas. Les critiques de l’appelante principale à l’endroit du budget de son époux ne sont pas pertinentes, dans la mesure où celui-ci dispose de revenus largement suffisants pour subvenir à son propre entretien, ainsi qu’à celui de l’appelante principale. En outre, avec son grief concernant la possibilité de l’époux de faire des économies après le divorce, l’appelante principale perd de vue que le législateur n’a pas prévu l’égalité des époux après le divorce, seul le principe de solidarité permettant, à certaines conditions, de prévoir une contribution à l’entretien de l’époux dont la situation a été influencée par le mariage. S’agissant des frais médicaux non remboursés, l’appelante principale n’établit pas qu’ils s’élèveraient à 4'517 fr. par mois, les pièces destinées à le prouver ayant été produites au stade de l’appel seulement ; il ressort au contraire de la taxation 2017 que ces frais se sont élevés à 1'158 francs. On ne saurait donc reprocher aux premiers juges d’avoir retenu ce montant. Les frais de dentiste allégués par l’appelante principale résultent de deux devis portant sur un montant de près de 4'500 francs. L’appelante n’a pas établi qu’elle aurait effectivement réalisé les traitements prévus et qu’elle se serait acquittée des montants demandés, alors qu’elle aurait eu tout loisir de le faire, au stade de la première instance ou de l’appel, des factures postérieures au jugement querellé étant recevables à ce stade. En outre, comme les premiers juges, on retient qu’il s’agit de frais à caractère extraordinaire et non réguliers. Enfin, l’appelante principale ne saurait tirer argument du fait qu’elle devrait se priver de soins indispensables. En effet, elle a perçu un montant de 170'000 fr. dans le cadre de la liquidation du régime matrimonial et ses charges ont été calculées de manière large. Dans ces circonstances, l’appelante principale devrait être en mesure de faire face à des imprévus, ce qui n’est pas la vocation de la contribution d’entretien après divorce. On peut enfin douter du caractère indispensable de certains soins à caractère purement esthétique, tel le blanchiment. C’est donc à juste titre que les premiers juges ont uniquement pris en compte les frais de l’hygiéniste dentaire ; ils ont au demeurant pris en compte les frais médicaux non remboursés résultant de la taxation fiscale, les frais dentaires pouvant être inclus dans cette déduction. Le raisonnement est le même s’agissant des frais de lunettes et de ceux d’ébénisterie, ceux-ci constituant des dépenses extraordinaires, dont l’appelante n’a pas établi qu’elles seraient appelées à se répéter régulièrement. Les premiers juges ont relevé que l’appelante principale avait constitué son assurance troisième pilier après la séparation des parties seulement. Cette charge doit cependant être admise dans son budget mensuel, au titre de son entretien convenable. En effet, dans le cadre du divorce, le deuxième pilier a été partagé par moitié entre les parties ; or, au vu de son âge, de son taux d’activité réduit et de sa situation financière, l’appelante principale n’aura pas l’opportunité de reconstituer cette prévoyance, au contraire de l’intimé. Pour ces motifs et en équité, ce poste doit figurer dans ses charges mensuelles, à hauteur de 564 francs (6'768 fr. / 12). Les premiers juges ont retenu que l’appelante avait allégué diverses charges – entretien du véhicule par 200 fr., abonnement de gym Pilates à 66 fr. – sans les établir par pièces et ne les ont dès lors pas prises en compte. Cette appréciation doit être confirmée, l’appelante ne développant au demeurant pas ses critiques en lien avec ces postes de son budget. En définitive, le budget de l’appelante principale tel que retenu par les premiers juges doit être augmenté de la charge liée au versement des primes de son assurance troisième pilier. Les charges mensuelles moyennes de l’appelante s’élèvent ainsi à 7'867 fr. 20. 4. Revenu de l’appelante principale</w:t>
      </w:r>
    </w:p>
    <w:p>
      <w:r>
        <w:rPr>
          <w:b/>
        </w:rPr>
        <w:t>E. 4</w:t>
      </w:r>
    </w:p>
    <w:p>
      <w:r>
        <w:t>Revenus et charges de U.________ a) U.________ travaille en tant que responsable Suisse romande chez [...]. Pour cette activité, il réalise un revenu mensuel net de 16'966 fr. 15, bonus compris. En sus, il tire un revenu mensuel de la location d'un immeuble sis à [...], dont il est copropriétaire avec ses deux frères, à raison d'un tiers chacun. À cet égard, il perçoit un revenu mensuel net de 2'674 fr. 75. En définitive, le revenu mensuel net de U.________ s’élève à 19'640 fr. 90. b) Ses charges mensuelles s’élèvent à un total de 8'937 fr. 65. c) Par ailleurs, U.________ a expliqué lors de l'audience du 10 décembre 2018 qu'il assumait seul la prise en charge financière de l'enfant majeur [...], lequel était toujours domicilié chez lui. Il a précisé que son fils était titulaire d'un Master en droit obtenu au mois de juillet 2018 et souhaitait accomplir le stage de notaire, sans toutefois avoir trouvé de place, pour l'heure.</w:t>
      </w:r>
    </w:p>
    <w:p>
      <w:r>
        <w:rPr>
          <w:b/>
        </w:rPr>
        <w:t>E. 4.1</w:t>
      </w:r>
    </w:p>
    <w:p>
      <w:r>
        <w:t>L’appelant par voie de jonction soutient qu’il faudrait imputer un revenu hypothétique correspondant à un taux d’activité de 100 % à l’intimée par voie de jonction. Il souligne qu’au moment de la séparation des parties, celle-ci avait 52 ans, exerçait une activité lucrative depuis 2010 et venait d’augmenter son taux d’activité à 50 %. En outre, elle aurait effectivement travaillé durant le vie commune, le fait qu’elle n’ait pas ou peu réalisé de revenus n’étant pas pertinent à cet égard ; l’appelant par voie de jonction critique également la portée des déclarations des témoins, toutes amies de l’intéressée. Il soutient également que la demande d’enseignants serait forte, surtout pour une enseignante expérimentée et formée. Enfin, l’intéressée n’aurait pas établi qu’elle serait dans l’incapacité de travailler à un taux d’activité plus important, les pièces censées l’établir étant dépourvues de force probante ; l’appelant par voie de jonction s’étonne ainsi que, si elle se considère effectivement incapable de travailler à plus de 50 %, l’intimée n’ait pas entrepris de démarches auprès de l’assurance-invalidité. Pour tous ces motifs, il conviendrait de retenir un taux d’activité de 100 %, en se fondant sur le salaire actuel de l’intéressée.</w:t>
      </w:r>
    </w:p>
    <w:p>
      <w:r>
        <w:rPr>
          <w:b/>
        </w:rPr>
        <w:t>E. 4.2</w:t>
      </w:r>
    </w:p>
    <w:p>
      <w:r>
        <w:t>et 4.3, FamPra.ch 2017 p. 551).</w:t>
      </w:r>
    </w:p>
    <w:p>
      <w:r>
        <w:rPr>
          <w:b/>
        </w:rPr>
        <w:t>E. 4.3</w:t>
      </w:r>
    </w:p>
    <w:p>
      <w:r>
        <w:t>En l’espèce, quoi qu’en dise l’appelant par voie de jonction et indépendamment des déclarations des témoins, s’il est certes établi que l’intimée par voie de jonction a exercé des activités artistiques durant la vie commune, on ne saurait les assimiler à une activité susceptible de procurer un revenu. Ce n’est qu’à partir de l’année 2010 que l’intéressée, alors âgée de 49 ans, a débuté son activité lucrative dans le domaine de l’enseignement, pour l’augmenter à un taux d’activité de 50 % en 2013, année de la séparation des parties, alors qu’elle était âgée de 52 ans. Dans la mesure où l’intimée par voie de jonction a débuté son activité lucrative du temps de l’union conjugale déjà, son âge n’est certes pas à lui seul un obstacle à l’augmentation du temps de travail. De même, l’intimée par voie de jonction n’a pas établi qu’elle souffrirait d’une maladie l’empêchant de travailler plus. En effet, les certificats médicaux produits évoquent pour partie des maux anciens et/ou liés au conflit conjugal – notamment les certificats de la Dre [...], du Dr [...], de la Dre [...] (qui atteste de l’état de santé en 2015 et en 2017) – ou émanent d’un acupuncteur. Seule probante, l’attestation du 5 février 2018 du Dr [...], psychiatre et psychothérapeute, mentionne une capacité de travail limitée à 50 %. Ce document a toutefois été établi il y a plus de dix-huit mois et fait état de « l’état clinique actuel » de sa patiente ; on ignore ainsi si ces constatations sont valables également pour l’avenir, d’autant que les troubles résulteraient du conflit conjugal opposant les parties. Pour ces motifs, l’intimée par voie de jonction n’a pas établi que l’atteinte dont elle se prévaut serait définitive et l’empêcherait d’augmenter son taux de travail. On souligne cependant que l’intimée par voie de jonction a déjà consenti des efforts considérables en s’insérant dans le marché du travail à 49 ans, alors qu’elle n’avait pas exercé une véritable activité professionnelle entre 1987 et 2010 et encore moins dans le domaine de l’enseignement. En outre et surtout, il est manifeste que le monde de l’enseignement a énormément évolué depuis l’année 1982, date d’obtention de son diplôme par l’intéressée – méthodes de travail, exigences nouvelles envers le corps enseignant, programmes et outils informatiques et introduction de la loi sur l’enseignement obligatoire du 7 juin 2011 (LEO ; BLV 400.02). Or l’intimée par voie de jonction n’a pas pratiqué dans ce domaine durant plus de vingt ans ; on ne peut dès lors pas considérer qu’elle est une enseignante expérimentée et formée. Pour ces motifs, on ne saurait exiger de l’intimée par voie de jonction qu’elle enseigne à un taux supérieur à 50 %, que ce soit dans le domaine des travaux manuels ou dans un autre domaine. En conséquence, le revenu de l’intimée par voie de jonction à prendre en considération est celui qu’elle réalise effectivement, à hauteur de 3'575 fr. 90 par mois. L’appelant principal devra ainsi contribuer à l’entretien de celle-ci par le versement d’un montant arrondi à 4'300 fr. ([3'575 fr. 90 - 7'867 fr. 20] = 4'291 fr. 30). 5. Durée de la contribution d’entretien</w:t>
      </w:r>
    </w:p>
    <w:p>
      <w:r>
        <w:rPr>
          <w:b/>
        </w:rPr>
        <w:t>E. 5</w:t>
      </w:r>
    </w:p>
    <w:p>
      <w:r>
        <w:t>Revenus et charges de M.________ a) Depuis 2013, M.________ travaille en qualité d'enseignante à un taux d’activité de 50 % dans une école de [...]. Il ressort de son certificat de salaire que son revenu annuel en 2017 s'est élevé à 42'911 fr., ce qui correspond à un revenu mensuel net moyen de 3'575 fr. 90. Lors de l'audience du 10 décembre 2018, elle a déclaré que ses revenus en 2018 n'avaient pas évolué par rapport aux revenus perçus en 2017. A l’occasion de cette même audience, l’intéressée a déclaré qu’il était difficile de trouver du travail car elle était en concurrence avec des jeunes au bénéfice d’un Bachelor, ce qui n’était pas son cas, qu’on demandait désormais aux enseignants de travailler sur des ordinateurs, même pour les travaux manuels, notamment de faire des projets en 3D, alors qu’elle n’était pas formée à cela et ne savait même pas utiliser Word et que ses collègues l’aidaient parfois mais étaient excédés car elle oubliait les procédures d’une fois à l’autre. b) Les charges mensuelles de M.________, telles que prises en compte au stade de l’appel (s’agissant des frais dentaires, de lunette, d’ébéniste et des primes d’assurance 3 e pilier, voir ci-dessous consid. 3.3), sont les suivantes : - prime assurance maladie (base et complémentaire) Fr.              459.40 - dentiste (157 fr. 25 / 12) Fr.              13.10 - frais médicaux non remboursés (1'158 fr. / 12) Fr.              96.50 - impôts (18'658 fr. 40/ 12) Fr. 1'554.85 - loyer              Fr. 2'483.00 - électricité ([121 fr. 59 + 117 fr. 61] / 8) Fr.              29.90 - assurance véhicule (994 fr. 80 / 12) Fr.              82.90 - taxes véhiculés (100 fr. 40 / 12) + ([13 fr. 80 + 298 fr.] / 8) Fr.              47.35 - essence / entretien voiture ([559 fr. 50 / 5] + 200) Fr.              311.90 - parking (260 fr. / 3)              Fr. 86.65 - demi-tarif CFF (165 fr. / 12) Fr.              13.75 - Swisscom (154 fr. 65 / 2) Fr.              77.35 - Salt              Fr. 58.30 - Billag (413 fr. 50 /11) Fr.              37.60 - ACS (150 fr. / 12)              Fr. 12.50 - DAS (295 fr. / 12)              Fr. 24.60 - ECA (63 fr. 65 / 12)              Fr.</w:t>
      </w:r>
    </w:p>
    <w:p>
      <w:r>
        <w:rPr>
          <w:b/>
        </w:rPr>
        <w:t>E. 5.1</w:t>
      </w:r>
    </w:p>
    <w:p>
      <w:r>
        <w:t>L’appelante principale fait valoir que la contribution d’entretien devrait être due jusqu’à la retraite du débirentier et non celle de la crédirentière.</w:t>
      </w:r>
    </w:p>
    <w:p>
      <w:r>
        <w:rPr>
          <w:b/>
        </w:rPr>
        <w:t>E. 5.2</w:t>
      </w:r>
    </w:p>
    <w:p>
      <w:r>
        <w:t>En principe, l’époux a droit au maintien de son niveau de vie durant le mariage aussi longtemps que les capacités économiques du débirentier permettent de couvrir les besoins du conjoint. En principe, ces capacités diminuent à l’âge de la retraite du débirentier, de telle sorte que, dans la pratique, l’obligation d’entretien dure jusqu’à l’âge de la retraite du débirentier (TF 5A_894/2011 du 14 mai 2012 consid. 6.5.2 et réf. ; ATF 141 III 465 consid. 3.2). Lorsque le créancier d'aliments atteint l'âge de la retraite avant le débirentier, il a droit  au maintien de son entretien convenable jusqu’à l’âge de la retraite du débirentier. Dans cette hypothèse, il y a cependant lieu d'imputer sur les besoins de l'époux créancier le montant de sa rente prévisible d'AVS et de son éventuelle rente de prévoyance professionnelle (TF 5A_474/2013 du 10 décembre 2013 consid. 5.1).</w:t>
      </w:r>
    </w:p>
    <w:p>
      <w:r>
        <w:rPr>
          <w:b/>
        </w:rPr>
        <w:t>E. 5.3</w:t>
      </w:r>
    </w:p>
    <w:p>
      <w:r>
        <w:t>En l’espèce, c’est manifestement par erreur que les premiers juges ont arrêté le versement de la contribution à la retraite de la crédirentière. Ils n’ont en effet pas indiqué pour quels motifs il y aurait lieu de s’écarter de la pratique constante en la matière. La contribution à l’entretien de l’appelante principale devra dès lors être versée jusqu’à ce que l’intimé à l’appel principal ait atteint l’âge de la retraite. 6. Dépens de première instance 6.1 Dans un dernier moyen, chaque partie soutient qu’ayant obtenu entièrement gain de cause, elle aurait dû obtenir de pleins dépens en première instance 6.2 Selon l'art. 95 al. 1 CPC, les frais englobent les frais judiciaires et les dépens, soit notamment les débours nécessaires et le défraiement d'un représentant professionnel (95 al. 3 let. a et b CPC), notion qui vise essentiellement les frais d'avocat (Tappy, Commentaire romand, op. cit., n. 26 ad art. 95 CPC). Conformément à l'art. 106 al. 1 CPC, les frais sont mis à la charge de la partie succombante.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Commentaire romand, op. cit., n. 12 ad art. 106 CPC). En outre, le tribunal peut s’écarter des règles générales et répartir les frais selon sa libre appréciation, notamment lorsque le litige relève du droit de la famille (art. 107 al. 1 let. c CPC). 6.3 En l’espèce, au stade de la première instance, les parties ont réglé la liquidation du régime matrimonial et le partage des avoirs LPP par convention. S’agissant de la question d’une contribution à l’entretien de l’épouse, celle-ci a conclu à l’audience du 10 décembre 2018 au versement d’un montant de 7'000 fr. par mois, tandis que l’époux a conclu qu’il ne devait aucune contribution à l’entretien de celle-ci. Dans ces circonstances, aucune partie n’a eu entièrement gain de cause et l’appréciation du premier juge doit être confirmée. 7. 7.1 En définitive, l’appel principal de M.________ doit être partiellement admis, tandis que l’appel joint de U.________ doit être rejeté. Il y a ainsi lieu de réformer le chiffre VI du dispositif du jugement querellé en ce sens que U.________ contribuera à l’entretien de M.________ par le versement d’une pension mensuelle de 4'300 fr. dès jugement définitif et exécutoire et jusqu’à ce que U.________ atteigne l’âge de la retraite, et de le confirmer pour le surplus. 7.2 Au stade de l’appel, seule la question de la contribution d’entretien était litigieuse. Au vu des conclusions respectives des parties, l’appelante principale obtient 4/5 de ses conclusions. Les frais judiciaires de deuxième instance pour l’appel principal et l’appel joint, arrêtés à 1'200 fr. chacun (art. 63 al. 2 TFJC), soit 2'400 fr. en tout, doivent être mis à la charge de l’appelante principale à raison d’un cinquième, par 480 fr., et de l’appelant par voie de jonction à raison de quatre cinquièmes, par 1'920 fr. (art. 106 al. 2 CPC). L’appelant par voie de jonction versera ainsi à l’appelante principale la somme de 720 fr. à titre de restitution partielle de l’avance de frais fournie par cette dernière (art. 111 al. 2 CPC). La charge des dépens est évaluée à 3'000 fr. pour chaque partie, de sorte que, compte tenu de ce que les frais – comprenant les frais judiciaires et les dépens (art. 95 al. 1 CPC) – doivent être mis à la charge de l’appelante principale à raison d’un cinquième et de l’appelant par voie de jonction à raison de quatre cinquièmes, le second versera en définitive, après compensations, à la première la somme de 1'800 fr. à titre de dépens réduits, à laquelle viendra d’ajouter la somme de 720 fr. à titre de restitution partielle de l’avance de frais de deuxième instance.</w:t>
      </w:r>
    </w:p>
    <w:p>
      <w:r>
        <w:rPr>
          <w:b/>
        </w:rPr>
        <w:t>E. 5.30</w:t>
      </w:r>
    </w:p>
    <w:p>
      <w:r>
        <w:t>- Rega (301fr. / 12)              Fr. 2.50 - assurance habitation (281 fr. 40 / 12) Fr.              23.45 - formation continue ([900 fr. – 200 fr.] /12) Fr.              58.35 - fiduciaire (150 fr. / 12) Fr.              12.50 - nourriture              Fr. 400.00 - vêtements              Fr. 200.00 - restaurants (1'297 fr. 84 / 5) Fr.              259.55 - soins esthétiques (769 fr. 85 / 5) Fr.              153.95 - coiffeur ([155 fr. + 185 fr. + 125 fr. + 155 fr.] / 4) Fr.              155.00 - voyages (611 fr. 92 / 5) Fr.              122.40 - cadeaux (102 fr. 80 / 5) Fr.              20.55 - sorties / divers              Fr. 500.00 - troisième pilier (6'768 fr. /12) Fr. 564.00 Total Fr. 7'867.20 Ce tableau appelle les commentaires suivants : - La prime d'assurance-maladie mensuelle de base et complémentaire s'élève en 2018 à 459 fr. 40. Il ressort en outre de la décision de taxation 2017 que l’intéressée a déduit la somme de 1'158 fr. à titre de frais médicaux non remboursés. - Selon la décision de taxation 2017, M.________ s'est acquittée de la somme de 6'768 fr. à titre de cotisations à un troisième pilier A. Pour les premiers juges, lors de l'audience du</w:t>
      </w:r>
    </w:p>
    <w:p>
      <w:r>
        <w:rPr>
          <w:b/>
        </w:rPr>
        <w:t>E. 10</w:t>
      </w:r>
    </w:p>
    <w:p>
      <w:r>
        <w:t>décembre 2018, l’intéressée a indiqué que cette épargne n'avait été que très récemment constituée et n'existait ainsi pas du temps de la vie commune. Celle-ci ne contestant pas avoir tenu ce propos dans le cadre de l’appel, on s’en tiendra à ce qu’on retenu les premiers juges. - Le 23 avril 2018, la clinique dentaire [...] a adressé à M.________ une facture de 157 fr. 25 pour un traitement par l’hygiéniste. Le 30 avril 2018, la clinique dentaire lui a adressé deux estimations d’honoraires de respectivement 3'102 fr. 70 et 1'337 fr. 80 en lien avec deux devis concernant, d’une part, des soins conservateurs et un blanchiment et, d’autre part, la confection d’un « onlay composite » sur la molaire inférieure droite. L’établissement de ces devis a nécessité un diagnostic qui a été facturé à 138 fr. 75. - Le 8 janvier 2018, M.________ s'est acquittée d'une facture de 373 fr. auprès de [...] pour un examen de la vue ainsi que de nouvelles lunettes. - [...], ébéniste, a établi une facture d'un montant de 1'357 fr. en date du 10 mai 2018 à l'attention de M.________, notamment pour son déménagement et la restauration de meubles. 6. S'agissant de son l'état de santé, M.________ a produit plusieurs attestations des spécialistes consultés, dont les constatations sont les suivantes : - Dre [...] (médecine interne FMH) : en date du 2 mars 2018, la praticienne a attesté avoir été consultée par sa patiente en décembre 2010 « suite à des malaises avec perte de connaissance, des céphalées et des palpitations dans le contexte d'un choc émotionnel ». Elle a relevé qu'« aucune cause organique somatique n'avait été mise en évidence » ; - Dr [...] (psychiatre et psychothérapeute FMH) : le 19 mars 2018, le médecin a certifié avoir suivi M.________ du 6 mars 2013 au 6 mai 2014 pour un « état dépressivo-anxieux survenu dans le cadre d'un conflit conjugal grave » ; - Dre [...] (médecine générale FMH) : la spécialiste a, une première fois le 7 juillet 2016, attesté suivre sa patiente depuis février 2015. Elle a alors indiqué que son état de santé ne lui permettait pas « d'occuper une activité professionnelle à plus de 50 % pour le moment ». Dans un second certificat établi le 8 février 2018, la Dre [...] a confirmé que sa patiente ne pouvait exercer une charge de travail au-delà de 50 %. Elle a précisé que lors de la première consultation en février 2015, celle-ci souffrait d'un état d'épuisement physico-psycho-émotionnel ainsi que d'« épisodes infectieux à répétition en lien avec une immunité affaiblie à cause d'un stress chronique (procédure de divorce en cours) ». Elle a relevé que malgré un suivi psychologique et psychiatrique, l'asthénie restait marquée en 2017, avec « des épisodes de lombalgies chroniques et de problématiques dermato (Eczéma) » ; - Dr [...] (psychiatre et psychothérapeute FMH) : dans son attestation du 5 février 2018, le médecin a indiqué que l'état clinique actuel de sa patiente était « caractérisé par une fatigabilité marquée avec un niveau d'énergie limité qui oblige[ait] la patiente à un repos régulier, une présence de symptômes physiques multiples (douleurs de dos, maux de tête, l'eczéma et des intolérances alimentaires) qui d[evai]ent être interprétés comme affichage physique d'un stress chronique ». Il a en outre relevé que ces symptômes limitaient la capacité de travail de sa patiente à 50 % ; - [...] (acupuncteur) : le thérapeute a certifié, à deux reprises soit le 31 août 2016 et le 12 février 2018, que M.________ présentait un état d'asthénie physique et de perturbation émotionnelle en lien avec sa séparation conjugale. Il a noté des troubles du sommeil, un état dépressif, des troubles digestifs, des perturbations de la mémoire, de la concentration et de la réflexion, ainsi que, depuis quelques mois précédant son second certificat, des lombalgies et dorsalgies fréquentes. Lors de l'audience de première instance du 10 décembre 2018, M.________ a confirmé se sentir stressée et fatiguée. Elle a indiqué ne plus avoir d'immunité et avoir manqué plusieurs fois l'école car elle tombait facilement malade. Ses dires ont été corroborés par les témoins [...], [...] et [...], lesquelles ont relevé l'état de santé fragile de leur amie. En droit : 1. 1.1 L'appel est recevable contre les décisions finales de première instance dans les affaires patrimoniales dont la valeur litigieuse au dernier état des conclusions s'élève à 10'000 fr. au moins (art. 308 al. 1 let. a et al. 2 CPC [Code de  procédure civile du 19 décembre 2008 ; RS 272]). S'agissant de prestations périodiques, elles doivent être capitalisées suivant la règle posée par l'art. 92 al. 2 CPC. L'appel, écrit et motivé, doit être introduit dans les trente jours à compter de la notification de la décision motivée (art. 311 CPC). La partie adverse peut former un appel joint dans sa réponse, qui doit être déposé dans un délai de trente jours (art. 312 al. 2 et 313 al. 1 CPC). La Cour d'appel civile connaît de tous les appels formés en application de l'art. 308 CPC (art. 84 al. 1 LOJV [loi d'organisation judiciaire du 12 décembre 1979 ; BLV 173.01]). 1.2 En l'espèce, formé en temps utile, par une partie qui a un intérêt digne de protection (art. 59 al. 2 let. a CPC), dans une cause patrimoniale dont la valeur litigieuse est supérieure à 10'000 fr., l’appel principal est recevable. L’appel joint a été déposé dans le délai imparti pour le dépôt de la réponse, de sorte qu’il est également recevable. 2. 2.1 L'appel peut être formé pour violation du droit ou pour constatation inexacte des faits (art. 310 CPC). Il offre à l'autorité de deuxième instance un plein pouvoir d'examen (Jeandin, Commentaire romand, Code de procédure civile, Bâle 2019, 2 e éd.,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 2.2 2.2.1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(Mathys, in Baker &amp; McKenzie [édit.], Handkommentar ZPO, 2010, n. 5 ad art. 317 CPC). S'agissant des vrais nova (echte Noven), soit des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(TF 5A_456/2016 du 28 octobre 2016 consid. 4.1.1 et les réf. cit. ; Tappy, op. cit., JdT 2010 III 139). En ce qui concerne les pseudo nova (unechte Noven),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 TF 5A_456/2016 du 28 octobre 2016 consid. 4.1.1 ; TF 5A_266/2015 du 24 juin 2015 consid. 3.2.2 ; TF 5A_695/2012 du 20 mars 2013 consid. 4.2.1). 2.2.2 En l’espèce, outre les pièces de forme, l’appelante principale a produit deux pièces à l’appui de son appel, à savoir une attestation de l’assureur-maladie [...] destinée à l’administration fiscale datée du 15 mars 2018, ainsi qu’un extrait de sa déclaration d’impôts pour l’année 2017, imprimé le 16 mars 2018. A l’appui de son appel, l’appelante principale indique que « ces pièces sont reproduites ici (ou produites si un accident de photocopies est à déplorer dans l’épais dossier des factures et autres preuves du budget) pour confirmer que c’est bien la somme qui a été déduite des impôts ». Ces pièces ne figurent pas dans le dossier de première instance, en particulier pas dans le lot de pièces produit sous numéro 130 du bordereau III du 10 septembre 2018 destiné à établir le budget de l’appelante principale. Pour ces motifs, ces deux pièces sont des pseudo nova et l’appelante principale n’établit pas qu’elle aurait été empêchée de les produire en première instance. Ces pièces ne sont donc pas recevables à ce stade. 3. Budget de l’appelante principale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