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767 vom 29. August 2019</w:t>
      </w:r>
    </w:p>
    <w:p>
      <w:r>
        <w:t>VD Tribunal cantonal, 2019-08-29, FR</w:t>
      </w:r>
    </w:p>
    <w:p>
      <w:r>
        <w:rPr>
          <w:b/>
        </w:rPr>
        <w:t xml:space="preserve">Quelle: </w:t>
      </w:r>
      <w:r>
        <w:t>https://mcp.opencaselaw.ch/entscheid/vd_findinfo_HC___2019___767</w:t>
      </w:r>
    </w:p>
    <w:p>
      <w:r>
        <w:t>FR: VD_FINDINFO HC / 2019 / 767 du 29 août 2019</w:t>
      </w:r>
    </w:p>
    <w:p>
      <w:r>
        <w:t>IT: VD_FINDINFO HC / 2019 / 767 del 29 agosto 2019</w:t>
      </w:r>
    </w:p>
    <w:p>
      <w:pPr>
        <w:pStyle w:val="Heading2"/>
      </w:pPr>
      <w:r>
        <w:t>Regeste</w:t>
      </w:r>
    </w:p>
    <w:p>
      <w:r>
        <w:t>OBLIGATION D'ENTRETIEN, ACTION EN MODIFICATION, INTERPRÉTATION{SENS GÉNÉRAL}, TRANSACTION JUDICIAIRE | 134 al. 1 CC, 286 al. 1 CC, 18 al. 1 CO,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3.1</w:t>
      </w:r>
    </w:p>
    <w:p>
      <w:r>
        <w:t>L’appelante reproche au premier juge d’avoir mal interprété la convention signée par les parties le 17 décembre 2015. Elle soutient que les parties n’ont jamais exclu la possibilité de revoir la pension en cas de modification de la situation de l’une ou l’autre des parties. Compte tenu des opinions divergentes des parties sur l’interprétation de la convention, l’appelante fait valoir que l’interprétation objective doit conduire à prendre en compte non seulement le texte et les déclarations, mais aussi les circonstances qui ont entouré la signature de la convention. En se fondant sur l’art. 287 al. 2 CC, elle se prévaut du fait que l’autorité n’aurait pas expressément approuvé une exclusion de la modification. Elle tire également argument du fait que les parties auraient pris la peine d’expliquer sur quelle base se fondait leur accord et de prévoir que l’intimé devrait l’informer sur l’évolution de sa formation. L’appelante soutient encore que l’hypothèse de l’augmentation des revenus de l’intimé durant ses études n’aurait pas été envisagée par les parties, pas plus qu’une diminution des charges due à un concubinage. En définitive, elle soutient que sa volonté réelle était de se réserver la possibilité de revenir sur la pension dès le moment où l’intimé aurait augmenté ses revenus ou diminué ses charges.</w:t>
      </w:r>
    </w:p>
    <w:p>
      <w:r>
        <w:rPr>
          <w:b/>
        </w:rPr>
        <w:t>E. 3.2.1</w:t>
      </w:r>
    </w:p>
    <w:p>
      <w:r>
        <w:t>Selon l'art. 286 al. 2 CC, applicable par le renvoi de l'art. 134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 ATF 131 III 189 consid. 2.7.4 ; ATF 120 II 177 consid. 3a, 285 consid. 4b ; TF 5A_677/2016 du 16 février 2017 consid. 2.1.1). Cette modification ou suppression n'est toutefois possible que si les circonstances ayant prévalu lors de la fixation de la contribution ont subi un changement notable et durable . Le fait revêt un caractère nouveau lorsqu'il n'a pas été pris en considération pour fixer la contribution d'entretien dans le jugement ; il n'est en revanche pas besoin d'examiner si les faits nouveaux invoqués pour la justifier étaient ou non prévisibles au jour du premier jugement (ATF 137 III 604 consid. 3.1 ; ATF 131 III 189 consid. 2.7.4). On présume néanmoins que la contribution d'entretien a été fixée en tenant compte des modifications prévisibles, soit de celles qui, bien que futures, sont déjà certaines ou fort probables (TF 5A_64/2018 du 14 août 2018 consid. 3.1 ; TF 5A_56/2015 du 10 septembre 2015 consid. 3.1).</w:t>
      </w:r>
    </w:p>
    <w:p>
      <w:r>
        <w:rPr>
          <w:b/>
        </w:rPr>
        <w:t>E. 3.2.2</w:t>
      </w:r>
    </w:p>
    <w:p>
      <w:r>
        <w:t>La transaction judiciaire s’interprète comme tout autre contrat. A cet égard,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 détermination de la volonté objective des parties, selon le principe de la confiance, est une question de droit ; pour la trancher, il faut cependant se fonder sur le contenu de la manifestation de volonté et sur les circonstances, lesquelles relèvent du fait (TF 4A_446/2017 du 27 juillet 2018 consid. 3 ; TF 4A_370/2017 du 31 janvier 2018 consid. 2.3).</w:t>
      </w:r>
    </w:p>
    <w:p>
      <w:r>
        <w:rPr>
          <w:b/>
        </w:rPr>
        <w:t>E. 3.3</w:t>
      </w:r>
    </w:p>
    <w:p>
      <w:r>
        <w:t>En l’espèce, les parties ont convenu, par transaction signée le 17 décembre 2015, que dès le mois suivant celui où l’intimé commencerait ses études d’ingénieur, la pension pour sa fille B.M.________ serait abaissée à 500 fr., « ceci tant qu’il [poursuivrait] ses études » et qu’il informerait régulièrement l’appelante « de l’avancement de ses études » (II). Les parties ont ensuite précisé que « la contribution d’entretien [serait] revue après la fin de cette période de formation » (III) et que la pension prévue se fondait « sur un revenu mensuel net à plein temps de 4'000 fr., versé treize fois l’an, et sur un taux d’activité à 60% durant les études d’ingénieur » (III). Les premiers juges ont considéré que le chiffre III de la convention, prévoyant que la contribution serait revue après la fin de la période de formation, était clair et sans ambiguïté, et qu’il ne laissait aucune marge d’interprétation. Il convenait de retenir que les parties entendaient figer la situation jusqu’à la fin des études de l’intimé et de ne revoir la contribution d’entretien due par ce dernier en faveur de sa fille qu’à l’issue de sa formation, indépendamment de tout changement dans la situation de l’une ou l’autre partie. L’appelante fait valoir que, selon l’art. 287 al. 2 CPC, les contributions d’entretien fixées par convention peuvent être modifiées à moins qu’une telle modification n’ait été exclue avec l’approbation de l’autorité de protection de l’enfant. Or, l’autorité n’aurait pas expressément approuvé une exclusion de la modification. L’argument est toutefois mal fondé puisque le président du tribunal civil a pris acte de la convention signée pour valoir jugement définitif et exécutoire. Il a ainsi approuvé la clause des parties selon laquelle la pension serait de 500 fr. tant que l’intimé poursuivrait ses études et qu’elle ne serait revue qu’ensuite. Selon l’appelante, la volonté réelle des parties de ne pas exclure une modification des contributions d’entretien ressortirait également du fait qu’elles auraient précisé « sur quelle base se fondait leur accord et le calcul de la contribution d’entretien » et que l’intimé devrait la renseigner sur « l’évolution de sa formation ». Sur ce dernier point, on doit constater au contraire que, par la formule utilisée, l’intimé s’est uniquement obligé à renseigner l’appelante sur l’avancement et la fin de sa formation, et non pas sur sa situation financière. Cet élément plaide ainsi pour une fixation de la contribution pour toute la durée de la formation. Quant à la précision du revenu à plein temps et du taux d’activité durant les études d’ingénieur, ils constituent effectivement la base sur laquelle les parties ont fixé leur accord. Elle leur permettra de réexaminer la contribution d’entretien due en faveur d’B.M.________ lorsque la formation de l’intimé sera terminée. Elle ne constitue nullement la preuve que les parties entendaient revoir la contribution d’entretien avant la fin de la formation de l’intimé. L’appelante soutient encore que l’hypothèse de l’augmentation des revenus de l’intimé durant ses études n’aurait pas été envisagée par les parties, pas plus qu’une diminution des charges due à un concubinage. Elle fait également valoir qu’elle n’aurait jamais accepté de limiter la pension en faveur de sa fille tant que l’intimé serait aux études. Ce faisant, elle expose sa propre vision des choses. Toutefois, l’interprétation subjective repose sur des constatations de fait. Le juge doit se fonder sur les déclarations des parties et les circonstances qui entourent leur accord. En l’espèce, non seulement le texte de la convention est clair, mais les circonstances qui ont entouré sa signature le sont également. Les parties ont transigé le 17 décembre 2015 et savaient que l’intimé devait commencer des études d’ingénieur. Elles ont donc établi la pension due pour un plein salaire, puis pour un salaire à 60% durant les études. Elles ne se sont toutefois pas contentées de prévoir la réduction des contributions lorsque le salaire serait de 2'400 fr. (4'000 fr x 60%), ce qui leur aurait permis de demander une modification en cas de baisse ou d’augmentation de salaire ; elles ont inséré dans leur convention un chiffre distinct selon lequel la contribution serait revue uniquement après la fin des études. L’appelante était alors assistée d’un mandataire professionnel. L’interprétation subjective permet ainsi d’admettre que la volonté réelle des parties était de figer la contribution en faveur d’B.M.________ pendant toute la durée de la formation de l’intimé. Au demeurant, même si on devait admettre que la volonté des parties ne pouvait pas être établie, on arriverait au même résultat par l’interprétation objective. En effet, le principe de la confiance permet d’imputer à une partie le sens objectif de sa déclaration ou de son comportement, même si celui-ci ne correspond pas à sa volonté intime (ATF 129 III 118 consid. 2.5 ; TF 4A_446/2017 du 27 juillet 2018 consid. 3). Dans le cas présent, au vu du texte clair et non ambigu de la convention et compte tenu du fait que l’appelante était accompagnée d’un avocat lorsqu’elle a signé la convention litigieuse, l’intimé était en droit de penser que la contribution d’entretien mensuelle de 500 fr. qu’il devait payer en faveur de sa fille B.M.________ ne serait pas modifiée durant toute la durée de ses études d’ingénieur, quelles que soient les éventuelles modifications dans sa vie personnelle ou dans celle de l’appelante. L’intimé pouvait légitimement croire en signant la convention que le seul élément qui pourrait induire un changement était la fin de sa formation, raison pour laquelle il devait tenir l’appelante informée de l’avancement de ses études. Au reste, rien dans les circonstances qui ont entouré la signature de la convention ne permet de retenir que la volonté de l’appelante était différente. Elle ne fait d’ailleurs pas valoir qu’elle aurait émis des réserves, ni que les parties auraient envisagé des changements dans leur vie personnelle ou professionnelle (concubinage, perte d’emploi pour l’appelante ou augmentation de son salaire, changement du taux d’activité de l’intimé ou augmentation de son salaire). Elle ne soutient pas non plus qu’elle aurait évoqué d’une quelconque manière qu’elle entendait pouvoir modifier en tout temps la contribution due en faveur de sa fille. Ainsi, l’interprétation tant subjective qu’objective ne permet pas d’admettre les réserves émises par l’appelante sur ce qu’aurait été sa volonté réelle. Au contraire, il ressort de manière claire de ses déclarations et de son comportement qu’elle était d’accord d’exclure toute modification des pensions pour B.M.________ jusqu’à la fin de la formation d’ingénieur de l’appelant. La solution adoptée par le premier juge se révèle donc conforme à l'art. 18 al. 1 CO.</w:t>
      </w:r>
    </w:p>
    <w:p>
      <w:r>
        <w:rPr>
          <w:b/>
        </w:rPr>
        <w:t>E. 4.1</w:t>
      </w:r>
    </w:p>
    <w:p>
      <w:r>
        <w:t>L’appelante conteste également l’argument développé par surabondance par le premier juge, selon lequel il n’aurait pu être procédé à une quelconque adaptation dès lors que, dans la convention litigieuse, l’élément relatif aux revenus que percevrait l’intimé lorsqu’il commencerait sa formation en emploi avait été défini conventionnellement pour surmonter une situation incertaine au moment de la signature. L’appelante soutient qu’il était indubitable que le taux d’activité de l’intimé allait baisser et que son revenu serait de 2'400 fr. et que c’était sur cet élément certain que les parties avaient fondé leur transaction.</w:t>
      </w:r>
    </w:p>
    <w:p>
      <w:r>
        <w:rPr>
          <w:b/>
        </w:rPr>
        <w:t>E. 4.2</w:t>
      </w:r>
    </w:p>
    <w:p>
      <w:r>
        <w:t>Les possibilités de modifier des mesures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de Weck-Immelé, Modification d'une convention entre époux en mesures protectrices et provisionnelles : cherchez l'erreur, Newsletter Droit matrimonial, été 2016).</w:t>
      </w:r>
    </w:p>
    <w:p>
      <w:r>
        <w:rPr>
          <w:b/>
        </w:rPr>
        <w:t>E. 4.3</w:t>
      </w:r>
    </w:p>
    <w:p>
      <w:r>
        <w:t>En l’espèce, et comme déjà relevé plus haut (cf. supra consid. 3.3), la précision dans la convention du revenu à plein temps et du taux d’activité durant les études d’ingénieur constituent la base sur laquelle les parties ont fixé la contribution d’entretien à 650 fr. lorsque l’intimé travaillait à plein temps et à 500 fr. dès le moment où il commençait sa formation. Ces éléments donnaient une image de la situation financière au moment de la signature, en prévision du réexamen de la situation lorsque l’intimé aurait terminé sa formation. Il n'en demeure pas moins que les revenus de l’intimé durant ses études demeuraient incertains, sans quoi les parties n’auraient pas expressément prévu dans leur convention un chiffre selon lequel la contribution en faveur de l’enfant ne serait pas revue avant la fin de la formation de l’intimé. Là encore, l’interprétation de la convention selon le principe de la confiance permet de retenir que les parties ont décidé de figer la situation pendant les études de l’intimé et qu’elles ont pris l’une et l’autre le risque d’une modification de la situation pendant cette période sans pour autant envisager un changement dans les contributions. Quoi qu’il en soit, cet argument a été développé par surabondance et ne change rien au fait que l’interprétation de la convention permet de retenir que les parties ont exclu toute modification avant la fin de la formation de l’intimé.</w:t>
      </w:r>
    </w:p>
    <w:p>
      <w:r>
        <w:rPr>
          <w:b/>
        </w:rPr>
        <w:t>E. 5</w:t>
      </w:r>
    </w:p>
    <w:p>
      <w:r>
        <w:t>En définitive, l’appel doit être rejeté selon l'art. 312 al. 1 CPC et l’ordonnance entreprise confirmée. Au vu des considérations qui précèdent, l'appel était d'emblée dépourvu de chances de succès et la requête d’assistance judiciaire de l’appelante doit être rejetée (art. 117 let. b CPC). Les frais judiciaires de deuxième instance, arrêtés à 600 fr. (65 al. 2 TFJC [tarif des frais judiciaires civils du 28 septembre 2010 ; BLV 270.11.5]), sont mis à la charge de l’appelante (art. 106 al. 1 CPC). Il n’y a pas lieu à l’allocation de dépens, l’intimé n’ayant pas été invité à se déterminer. Par ces motifs, la Juge déléguée de la Cour d’appel civile prononce : I. L’appel est rejeté. II. L’ordonnance est confirmée. III. La requête d’assistance judiciaire de l’appelante A.M.________ est rejetée. IV. Les frais judiciaires de deuxième instance, arrêtés à 600 fr. (six cents francs), sont mis à la charge de l’appelante A.M.________. V. L’arrêt est exécutoire. La juge déléguée : La greffière : Du Le présent arrêt, dont la rédaction a été approuvée à huis clos, est notifié en expédition complète à : ‑ Me Angelo Ruggiero (pour A.M.________), ‑ Me Benjamin Schwab (pour B.________),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