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705 vom 17. Juli 2019</w:t>
      </w:r>
    </w:p>
    <w:p>
      <w:r>
        <w:t>VD Tribunal cantonal, 2019-07-17, FR</w:t>
      </w:r>
    </w:p>
    <w:p>
      <w:r>
        <w:rPr>
          <w:b/>
        </w:rPr>
        <w:t xml:space="preserve">Quelle: </w:t>
      </w:r>
      <w:r>
        <w:t>https://mcp.opencaselaw.ch/entscheid/vd_findinfo_HC___2019___705</w:t>
      </w:r>
    </w:p>
    <w:p>
      <w:r>
        <w:t>FR: VD_FINDINFO HC / 2019 / 705 du 17 juillet 2019</w:t>
      </w:r>
    </w:p>
    <w:p>
      <w:r>
        <w:t>IT: VD_FINDINFO HC / 2019 / 705 del 17 luglio 2019</w:t>
      </w:r>
    </w:p>
    <w:p>
      <w:pPr>
        <w:pStyle w:val="Heading2"/>
      </w:pPr>
      <w:r>
        <w:t>Regeste</w:t>
      </w:r>
    </w:p>
    <w:p>
      <w:r>
        <w:t>PREUVE À FUTUR, LÉGITIMATION ACTIVE ET PASSIVE, CONTRAT DE COMMISSION, DROIT AU SALAIRE, CONTRAT DE TRAVAIL | 322c CO, 29 al. 2 Cst., 158 al. 1 CPC (CH), 158 al. 2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en matière de preuve à futur en lien avec des prétentions patrimoniales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w:t>
      </w:r>
    </w:p>
    <w:p>
      <w:r>
        <w:t>L’appelante invoque une violation des art. 158 al. 1 let. b CPC et 29 al. 2 Cst.</w:t>
      </w:r>
    </w:p>
    <w:p>
      <w:r>
        <w:rPr>
          <w:b/>
        </w:rPr>
        <w:t>E. 3.1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w:t>
      </w:r>
    </w:p>
    <w:p>
      <w:r>
        <w:t>En vertu de l’art. 158 al. 1 CPC, une preuve à futur peut être obtenue dans trois cas : lorsque la loi confère le droit d'en faire la demande (let. a), lorsque la preuve est mise en danger (let. b, 1 er cas) ou lorsque le requérant a un intérêt digne de protection (let. b, 2 e cas). Dans le 2 e cas de la let. b de l’art. 158 al. 1 CPC, soit lorsque le requérant a un intérêt digne de protection, la preuve à futur « hors procès » est destinée à permettre au requérant de clarifier les chances de succès d'un procès futur, de façon à lui éviter de devoir introduire un procès dénué de toute chance.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(ATF 142 III 40 consid. 3.1.1 ; ATF 140 III 16 consid. 2.2.2 ; ATF 138 III 76 consid. 2.4.2). Tous les moyens de preuve prévus par les art. 168 ss CPC peuvent être administrés en preuve à futur hors procès, et ce conformément aux règles qui leur sont applicables (ATF 142 III 40 consid. 3.1.2). La procédure de preuve à futur n'a, dans tous les cas, pas pour objet d'obtenir qu'il soit statué matériellement sur les droits ou obligations des parties, mais seulement de faire constater ou apprécier un certain état de fait. Le tribunal ne statue pas sur le fond, ni, dans le 2 e cas de l'art. 158 al. 1 let. b CPC, ne procède à un examen des chances de succès de la prétention matérielle du requérant (ATF 142 III 40 consid. 3.1.3 ; ATF 140 III 16 consid. 2.2.2; ATF 138 III 76 consid. 2.4.2). Le requérant n'a notamment pas d'intérêt digne de protection à obtenir l'administration d'une expertise à titre de preuve à futur pour clarifier les chances de succès d'un éventuel procès futur (art. 158 al. 1 let. b, 2 e cas, CPC) lorsqu'une expertise apte à prouver les faits existe déjà (ATF 140 III 24 consid. 3.3.1.3). La requête de preuve à futur doit être précisée (cf. art. 221 al. 1 let. e CPC). Ainsi, si des titres sont requis comme moyens de preuve (art. 177 ss. CPC), le titre dont la production est requise doit être décrit de manière précise quant à sa nature et son contenu (ATF 143 III 113 consid. 4.4.1).</w:t>
      </w:r>
    </w:p>
    <w:p>
      <w:r>
        <w:rPr>
          <w:b/>
        </w:rPr>
        <w:t>E. 3.3</w:t>
      </w:r>
    </w:p>
    <w:p>
      <w:r>
        <w:t>L’appelante expose que le premier juge n’aurait pas examiné la problématique qu'elle avait pourtant soulevée, relative à la question de la légitimation passive de R.________ SA, dès lors que celle-ci ne faisait pourtant pas partie de la société « Groupe R.________ SA » comme retenu à tort par le premier juge (p. 15). Le premier juge n'aurait pas traité de la problématique liée à l'existence de plusieurs sociétés (holding et filiales), et la décision entreprise n'expliquerait pas non plus en quoi l’intimé F.________ aurait à tout le moins rendu vraisemblable l'existence d'une prétention concrète à l'égard de l'appelante, seule étant mentionnée à cet égard la société S.________ SA, employeur du requérant. Or, l’intimé F.________ n'aurait jamais allégué ni rendu vraisemblable et encore moins pris des conclusions à ce titre, qu'il serait titulaire d'une prétention de droit matériel à l'encontre de R.________ SA, dans la mesure où il admettrait lui-même n'avoir jamais été lié contractuellement avec cette société mais bien avec la société S.________ SA, filiale de la société mère « Groupe R.________ SA », sociétés qui sont indépendantes de la société appelante R.________ SA. En particulier, ce serait à tort que la décision entreprise retiendrait que l’intimé F.________ aurait « allégué que l'intimée S.________ SA, soit son employeur, faisait partie du même groupe de sociétés que l'intimée R.________ SA ». En effet, les pièces produites (1, 101 et 102) démontreraient que l'appelante R.________ SA n'aurait jamais fait partie du même groupe de sociétés que S.________ SA et quand bien même on devait retenir cette affirmation, ce lien ne fonderait pas une quelconque prétention de l’intimé F.________ vis-à-vis de l'appelante, dont il serait unanimement admis pas les parties qu'elle n’avait jamais été l'employeur du requérant. L'intimée S.________ SA, qui se rallie aux conclusions de l'appelante, rappelle que l’intimé F.________ était son employé et qu'aucun contrat ne lierait ce dernier à R.________ SA. Par ailleurs, S.________ SA conteste que les conditions donnant droit à une provision selon le contrat la liant à son ancien employé soient réalisées. Au demeurant, aucun contrat de vente n'aurait été conclu entre S.________ SA et A.L.________ SA, le contrat ayant été conclu entre R.________ SA – société avec laquelle F.________ n'aurait aucun lien contractuel – et A.L.________ SA. Enfin, elle expose que comme cela a été admis par F.________ dans sa requête, le contrat n'avait pas été conclu entre A.L.________ SA et S.________ SA, de sorte que S.________ SA n'aurait de toute manière aucun document en sa possession et elle ne serait dès lors pas en mesure de produire les documents requis par F.________.</w:t>
      </w:r>
    </w:p>
    <w:p>
      <w:r>
        <w:rPr>
          <w:b/>
        </w:rPr>
        <w:t>E. 3.4</w:t>
      </w:r>
    </w:p>
    <w:p>
      <w:r>
        <w:t>L'intimé F.________, qui conclut au rejet de l'appel, se détermine en exposant qu’il serait hautement vraisemblable, pour ne pas dire certain, que S.________ SA et R.________ SA fassent bel et bien partie d'un même groupe, les trois sociétés, soit l'appelante R.________ SA, l'intimée S.________ SA et Groupe R.________ SA ayant le même président. De plus, Groupe R.________ SA et R.________ SA auraient une raison sociale quasi identique, feraient usage du même logo et auraient leur siège à la même adresse. Au pied des emails envoyés par les employés de R.________ SA figurerait la mention « société du Groupe R.________ SA ». Le dossier de présentation de S.________ SA dont chaque page citerait le « Groupe R.________ SA » comporterait une rubrique à laquelle figurerait une référence à «R.________ SA ». Enfin, F.________ expose que R.________ SA et S.________ SA auraient toutes les deux collaboré en lien avec l'exécution des contrats signés par R.________ SA avec A.L.________ SA.</w:t>
      </w:r>
    </w:p>
    <w:p>
      <w:r>
        <w:rPr>
          <w:b/>
        </w:rPr>
        <w:t>E. 3.5</w:t>
      </w:r>
    </w:p>
    <w:p>
      <w:r>
        <w:t>En l'espèce, force est de constater que la décision entreprise ne contient aucune motivation quant à l'admissibilité de la requête en ce qui concerne l'appelante R.________ SA. En particulier, la décision entreprise n'expose pas en quoi les conditions de l'art. 158 al. 1 let. b CPC seraient réalisées en ce qui concerne l'appelante, la décision entreprise se contentant à cet égard de relever que le requérant invoque que son employeur S.________ SA fait partie du même groupe de sociétés que l'appelante. La question de la qualité pour défendre de R.________ SA est une question de fond. Ainsi, si la qualité pour défendre de la société précitée est niée, la demande doit être rejetée, et non déclarée irrecevable. Cette question peut toutefois demeurer ouverte eu égard au fait que la demande doit de toute manière être rejetée pour les motifs qui suivent (cf. infra consid. 4).</w:t>
      </w:r>
    </w:p>
    <w:p>
      <w:r>
        <w:rPr>
          <w:b/>
        </w:rPr>
        <w:t>E. 4</w:t>
      </w:r>
    </w:p>
    <w:p>
      <w:r>
        <w:t>L'appelante invoque ensuite une violation de l'art. 322c al. 1 CO en relation avec l'art. 158 al. 2 CPC, en se fondant sur l'ATF 141 III 564.</w:t>
      </w:r>
    </w:p>
    <w:p>
      <w:r>
        <w:rPr>
          <w:b/>
        </w:rPr>
        <w:t>E. 4.1</w:t>
      </w:r>
    </w:p>
    <w:p>
      <w:r>
        <w:t>Aux termes de l'art. 322c CO, si le travailleur n'est pas tenu par le contrat d'établir un relevé de ses provisions, l'employeur lui remet à chaque échéance un décompte indiquant les affaires qui donnent droit à une provision (al. 1). L'employeur fournit les renseignements nécessaires au travailleur ou, à sa place, à un expert désigné en commun ou par le juge ; il autorise le travailleur ou l'expert à consulter les livres et les pièces justificatives dans la mesure où le contrôle l'exige (al. 2). Selon la doctrine, l'employeur doit remettre un décompte écrit en principe chaque mois (cf. art. 323 al. 2 CO) ; le décompte contient des détails tels que le nom du client, le genre et le nombre de marchandises vendues, la valeur de l'affaire conclue, etc. Sauf accord contraire, l'employeur est tenu de prouver l'exactitude du décompte. La loi prévoit une procédure en deux étapes, soit tout d'abord la remise du décompte, puis le droit de consulter les livres et pièces justificatives de l'employeur. L'employé peut exercer ce droit par l'intermédiaire d'un expert, qui peut aussi servir à protéger le droit au secret de l'employeur. L'expert ne peut pas être le choix d'une seule partie. En cas de désaccord, les parties doivent saisir le juge (Rehbinder/Stockli, Berner Kommentar, 2010, n. 12, 14 et 15 ad art. 322a CO et n. 3 à 5 ad art. 322c ; TF 4A_121/2011 consid. 3.3). Dans un arrêt du Juge délégué CACI du 25 avril 2013, il a été considéré que l'intimé avait fondé sa requête de preuve à futur sur le besoin de vérifier que le montant alloué à titre de commission dans les décomptes de l'appelante correspondait aux pourcentages prévus dans l'annexe au contrat de travail, ce que les décomptes produits ne permettaient pas d'examiner, en violation des obligations imparties à l'employeur en application de l'art. 322c CO. Il s'agissait dès lors d'un intérêt digne de protection suffisant à justifier le bien-fondé de la décision entreprise.</w:t>
      </w:r>
    </w:p>
    <w:p>
      <w:r>
        <w:rPr>
          <w:b/>
        </w:rPr>
        <w:t>E. 4.2</w:t>
      </w:r>
    </w:p>
    <w:p>
      <w:r>
        <w:t>Dans un arrêt, le Tribunal fédéral a considéré que, dans le cadre d’un mandat, le droit à la reddition de compte fondé sur l’art. 400 al. 1 CO était une condition de droit matériel et non un droit de nature procédurale (ATF 141 III 564 consid. 4.2.2 ; cf. TF 5A_ 768/2012 du 17 mai 2013 consid. 4.1). En tant que droit accessoire indépendant, le droit à la reddition de compte peut faire l'objet d'une action en exécution. En ordonnant au mandataire de fournir l'information ou les documents requis, le juge règle définitivement le sort de la prétention, qui « s'épuise » avec la communication des renseignements ou des pièces (cf. ATF 138 Ill 728 consid. 2.7 p. 732 s.). Le jugement, revêtu de l'autorité de la chose jugée, doit être rendu après un examen complet en fait et en droit (cf. TF 5A_ 768/2012 précité consid. 4.1). Selon la jurisprudence, le juge ne peut pas ordonner par voie provisionnelle une mesure qui, par sa nature, implique un jugement définitif de la prétention à protéger, comme la reddition de compte au sens de l'art. 400 al. 1 CO (cf. ATF 138 III 728 consid. 2.7 p. 732 s.; pour le droit à la consultation des comptes de la SA [art. 697h CO], ATF 120 II 352 consid. 2b p. 355). De même, la procédure de preuve à futur en vue d'évaluer les chances de succès d'une action future ne peut pas être utilisée pour faire valoir une prétention en reddition de compte contestée par la partie adverse (cf. Gasser/Rickli, Schweizerische Zivilprozessordnung [ZPO], Kurzkommentar, 2 e éd., 2014, n. 6 ad art. 85 CPC).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p. 13 s.; ATF 141 Ill 241 consid. 3.3.1 p. 245 et 4.2.3 p. 248), après un examen complet en fait et en droit. » (consid. 4.2.2). Dans un arrêt plus récent (TF 5A_295/2016 du 23 février 2017, publié aux ATF 143 III 113), le Tribunal fédéral a rappelé que si la loi accordait à une partie un droit matériel à l’information, celle-ci ne pouvait pas s’en prévaloir par la voie de la preuve à futur, de sorte qu’il fallait d’abord examiner si la partie à laquelle les informations étaient requises était tenue de les fournir sur la base du droit matériel (consid. 4.3). Ce n’est que dans le cas contraire qu’il y a lieu d’examiner si les conditions de la preuve à futur sont réunies.</w:t>
      </w:r>
    </w:p>
    <w:p>
      <w:r>
        <w:rPr>
          <w:b/>
        </w:rPr>
        <w:t>E. 4.3</w:t>
      </w:r>
    </w:p>
    <w:p>
      <w:r>
        <w:t>L'appelante expose que F.________ fonderait en réalité ses prétentions sur le droit aux renseignements de l'art. 322c al. 2 CO, de sorte qu’il s’agirait d’un droit matériel qui ne pourrait jamais être invoqué par la voie de mesures provisionnelles et encore moins par la voie de la preuve à futur.</w:t>
      </w:r>
    </w:p>
    <w:p>
      <w:r>
        <w:rPr>
          <w:b/>
        </w:rPr>
        <w:t>E. 4.4</w:t>
      </w:r>
    </w:p>
    <w:p>
      <w:r>
        <w:t>L'intimée S.________ SA ne se détermine pas sur ce grief. Quant à l'intimé F.________, il expose que l'art. 322c al. 2 CO n'introduirait pas un droit au renseignements, mais instaurerait uniquement un droit de contrôle en faveur du travailleur, dont l'exercice passerait par une requête en désignation d'un expert. Or la requête de preuve à futur n'avait pas cet objet. Ensuite, il indique que la reddition de comptes de l'art. 400 al. 1 CO, qui fait l'objet de l'ATF précité, constituerait une obligation indépendante du mandataire, alors que la remise de renseignements prévue par l'art. 322c CO constituerait une obligation dépendante pour l'employeur, de sorte que la procédure de preuve à futur ne serait pas susceptible « d'épuiser » son droit matériel au paiement de son salaire. Enfin, F.________ rappelle que la jurisprudence du Tribunal cantonal de céans, bien qu'antérieure à la jurisprudence fédérale susmentionnée, resterait entièrement pertinente puisqu'elle traite de l'art. 322c CO et non pas de l'art. 400 al. 1 CO. En l'espèce, la jurisprudence fédérale invoquée par l'appelante trouve application, contrairement à ce que soutient l'intimé F.________. En particulier, bien que l'arrêt du Tribunal fédéral traite de la reddition de comptes, il est tout à fait applicable au cas d'espèce. Tout comme dans le cas de l'art. 400 al. 1 CO, le travailleur dispose en l'espèce d'une action lui permettant d'obtenir des renseignements, par le biais d'un expert. C'est bien cette voie là que F.________ aurait dû utiliser. On ne peut suivre l'argument de F.________ selon lequel « la remise de renseignements prévue par l'art. 322c CO constitue une obligation dépendante pour l'employeur ». Il n'expose d'ailleurs pas plus précisément en quoi cette obligation serait une « obligation dépendante » ; au contraire, il faut considérer qu'en ordonnant à l'employeur de fournir les renseignements prévus par l'art. 322c CO, le juge règle définitivement le sort de la prétention, qui « s'épuise » avec la communication des renseignements ou des pièces, au même titre que la reddition de comptes. L'appel doit être admis pour ce motif.</w:t>
      </w:r>
    </w:p>
    <w:p>
      <w:r>
        <w:rPr>
          <w:b/>
        </w:rPr>
        <w:t>E. 5</w:t>
      </w:r>
    </w:p>
    <w:p>
      <w:r>
        <w:t>En définitive, l’appel doit être admis et la décision entreprise réformée au chiffre I de son dispositif en ce sens que la requête de preuve à futur est rejetée.</w:t>
      </w:r>
    </w:p>
    <w:p>
      <w:r>
        <w:rPr>
          <w:b/>
        </w:rPr>
        <w:t>E. 5.1</w:t>
      </w:r>
    </w:p>
    <w:p>
      <w:r>
        <w:t>Les frais judiciaires de deuxième instance, arrêtés à 2'345 fr. (art. 62 al. 1 TFJC [tarif du 28 septembre 2010 des frais judiciaires civils; BLV 270.11.5 ), doivent être entièrement mis à la charge de l’intimé F.________, qui succombe seul, l’intimée S.________ SA ayant adhéré aux conclusions de l’appel (art. 106 al. 1 CPC).</w:t>
      </w:r>
    </w:p>
    <w:p>
      <w:r>
        <w:rPr>
          <w:b/>
        </w:rPr>
        <w:t>E. 5.2</w:t>
      </w:r>
    </w:p>
    <w:p>
      <w:r>
        <w:t>Vu l’issue du litige, l’intimé F.________ versera à l’appelante R.________ SA la somme de 3'845 fr. à titre de restitution d’avance de frais de deuxième instance par 2'345 fr. et de dépens de deuxième instance par 1'500 fr. (art.</w:t>
      </w:r>
    </w:p>
    <w:p>
      <w:r>
        <w:rPr>
          <w:b/>
        </w:rPr>
        <w:t>E. 7</w:t>
      </w:r>
    </w:p>
    <w:p>
      <w:r>
        <w:t>TDC [tarif des dépens en matière civile du 23 novembre 2010 ; BLV 270.11.6]). Il versera en outre à l’intimée S.________ SA la somme de 800 fr. (art. 7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