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606 vom 20. Juni 2019</w:t>
      </w:r>
    </w:p>
    <w:p>
      <w:r>
        <w:t>VD Tribunal cantonal, 2019-06-20, FR</w:t>
      </w:r>
    </w:p>
    <w:p>
      <w:r>
        <w:rPr>
          <w:b/>
        </w:rPr>
        <w:t xml:space="preserve">Quelle: </w:t>
      </w:r>
      <w:r>
        <w:t>https://mcp.opencaselaw.ch/entscheid/vd_findinfo_HC___2019___606</w:t>
      </w:r>
    </w:p>
    <w:p>
      <w:r>
        <w:t>FR: VD_FINDINFO HC / 2019 / 606 du 20 juin 2019</w:t>
      </w:r>
    </w:p>
    <w:p>
      <w:r>
        <w:t>IT: VD_FINDINFO HC / 2019 / 606 del 20 giugno 2019</w:t>
      </w:r>
    </w:p>
    <w:p>
      <w:pPr>
        <w:pStyle w:val="Heading2"/>
      </w:pPr>
      <w:r>
        <w:t>Regeste</w:t>
      </w:r>
    </w:p>
    <w:p>
      <w:r>
        <w:t>DÉVOLUTION DE LA SUCCESSION, INVENTAIRE, HÉRITIER INSTITUÉ | 553 al. 1 ch. 3 CC</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L'administration d'office d'une succession est régie par l'art. 125 CDPJ, ainsi que par les art. 104 à 109 CDPJ compte tenu du renvoi de l'art. 111 CDPJ. Les litiges gracieux se règlent selon la procédure sommaire de l'art. 248 let. e CPC, de sorte que seul le recours limité au droit de l'art. 109 al.</w:t>
      </w:r>
    </w:p>
    <w:p>
      <w:r>
        <w:rPr>
          <w:b/>
        </w:rPr>
        <w:t>E. 1.2</w:t>
      </w:r>
    </w:p>
    <w:p>
      <w:r>
        <w:t>En l’espèce, le recours a été déposé en temps utile par une partie qui  a un intérêt digne de protection (art. 59 al. 1 let. a CPC). Il est donc recevable sous cet angle. S’agissant de la motivation du recours, le recourant indique lui-même que sa motivation est « très succincte » car il estime pouvoir développer ensuite ses arguments en plaidoirie. Dans la mesure où certains griefs ne sont pas du tout, voire insuffisamment motivés, ils sont irrecevables. Cela étant, la question de la recevabilité peut rester ouverte, le recours devant être quoi qu’il en soit rejeté, pour les motifs exposés ci-après. 2. 2.1 Le recours est recevable pour violation du droit (art. 320 let. a CPC) et constatation manifestement inexacte des faits (art. 320 let. b CPC). S'agissant de la violation du droit, l'autorité de recours dispose d'un plein pouvoir d'examen (Spühler, Basler Kommentar ZPO, 3 e éd., 2017, n. 26 ad art. 319 CPC) ;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 e éd., 2014, n. 27 ad art. 97 LTF). 2.2 En procédure de recours, les conclusions, les allégations de fait et les preuves nouvelles sont irrecevables (art. 326 al. 1 CPC). En l’espèce, les quatre pièces produites par le recourant à l’appui de son recours figurent déjà au dossier de première instance et sont donc recevables. Pour le surplus, il n’y a pas lieu de donner suite aux réquisitions de production de pièces du recourant, les preuves nouvelles étant irrecevables en procédure de recours.</w:t>
      </w:r>
    </w:p>
    <w:p>
      <w:r>
        <w:rPr>
          <w:b/>
        </w:rPr>
        <w:t>E. 3</w:t>
      </w:r>
    </w:p>
    <w:p>
      <w:r>
        <w:t>et 610 al. 2 CC entre cohéritiers et à l'égard des tiers (ATF 132 III 677 consid. 4.2.4), l'art. 581 al. 2 CC en cas d'inventaire officiel, ainsi que par les normes contractuelles lorsque le droit a été acquis en vertu de l'art. 560 CC, par exemple envers une banque (ATF 133 III 664 consid. 2.5). Il s'ensuit que les tiers ne sont tenus de renseigner l'autorité compétente pour l'établissement de l'inventaire de l'art.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 avoirs dont le de cujus n'était que l'ayant droit économique et lorsque le droit aux renseignements est contesté. En effet,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 matériel, l'obtention d'informations par l'autorité rend toute contestation civile au sujet du droit aux renseignements superflue. Or, une décision définitive sur l'existence et l'étendue d'un tel droit doit nécessairement intervenir en procédure contentieuse (cf. TF 5A_434/2012 du 18 décembre 2012 consid. 3.3.2.1 et les références citées).</w:t>
      </w:r>
    </w:p>
    <w:p>
      <w:r>
        <w:rPr>
          <w:b/>
        </w:rPr>
        <w:t>E. 3.1</w:t>
      </w:r>
    </w:p>
    <w:p>
      <w:r>
        <w:t>Le recourant invoque en substance que la défunte n'aurait peut-être pas fait valoir ses droits successoraux sur la succession de feue sa sœur, décédée le 5 octobre 2006. Par ailleurs, la bibliothèque, la collection de disques et des tableaux de la défunte auraient disparu lors de son transfert en EMS en 2009. Pour ces motifs, il estime que les mesures prévues aux art. 551 à 559 CC auraient dû être prononcées et que ses réquisitions visant à déterminer les biens de la défunte auraient dû être admises par la première juge.</w:t>
      </w:r>
    </w:p>
    <w:p>
      <w:r>
        <w:rPr>
          <w:b/>
        </w:rPr>
        <w:t>E. 3.2</w:t>
      </w:r>
    </w:p>
    <w:p>
      <w:r>
        <w:t>A teneur de l'art. 553 CC, l'autorité fait dresser un inventaire notamment lorsqu'un héritier mineur est ou doit être placé sous tutelle (al. 1 ch. 1) ; elle le fait également à la demande d'un héritier (al. 1 ch. 3). L'inventaire est dressé conformément à la législation cantonale et, en règle générale, dans les deux mois à compter du décès (al. 2). La législation cantonale peut prescrire l'inventaire dans d'autres cas (al. 3).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5A_89212011 du 21 juin 2012 consid. 5.1.2 ; TF 5A_686/2011 du 28 novembre 2011 consid. 2 ; TF 5P.400/1999 du 25 mai 2000 consid. 5). Il n'est par conséquent pas nécessaire que l'inventaire comporte la liste des passifs du de cujus , une description détaillée des biens, une estimation de ceux-ci ou une liste des libéralités rapportables ou sujettes à réunion (ATF 120 II 293 consid. 2 ; ATF 118 II 264 consid. 4b/bb). Mais l'inventaire doit s'étendre à tous les biens extants, y compris ceux sis à l'étranger et ceux qui n'étaient pas en possession du de cujus .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(ATF 118 II 264 consid. 4b/bb). Dans la mesure où l'inventaire conservatoire de l'art. 553 CC ne produit aucun effet matériel (TF 5A_184/2012 du 6 juillet 2012 consid. 1.2 ; TF 5A_686/2011 du 28 novembre 2011 consid. 2), il peut être modifié ou complété en tout temps s'il se révèle être inexact ou incomplet (TF 5A_434/2012 du 18 décembre 2012 consid. 3.2.2 et les références). L'inventaire conservatoire de l'art. 553 CC relève de la juridiction gracieuse (TF 5A_892/2011 du 21 juin 2012 consid. 1 ; TF 5A_171/2010 du 19 avril 2010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Ill 463 consid 3a ; ATF 112 II 145 consid. 1 ; ATF 106 II 365 consid. 1 ; TF 5A_434/2012 du 18 décembre 2012 consid. 3.2.2 et les références). L'autorité compétente doit pouvoir obtenir, en vue d'établir l'inventaire, des renseignements de la part des héritiers et des tiers au sujet du patrimoine du de cujus à son décès, mais non sur ce qui s'est passé auparavant (ATF 118 II 264 consid. 4b ; TF 5A_434/2012 du 18 décembre 2012 consid. 3.3.2.1 et la doctrine citée). L'ordre de fournir des renseignements peut être assorti de la menace de la peine prévue à l'art. 292 CP (Code pénal suisse du 21 décembre 1937 ; RS 311.0) (ATF 118 II 264 consid. 4b/aa).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(cf. Waldmann, Informations-beschaffung durch Zivilprozess, 2009, p. 98 s.). Le droit d'obtenir des informations est en effet garanti par d'autres dispositions, notamment les art. 607 al.</w:t>
      </w:r>
    </w:p>
    <w:p>
      <w:r>
        <w:rPr>
          <w:b/>
        </w:rPr>
        <w:t>E. 3.3</w:t>
      </w:r>
    </w:p>
    <w:p>
      <w:r>
        <w:t>En l'espèce, par décision du 19 février 2019, la Juge de paix a notamment renoncé à l'administration officielle de la succession. A l’appui de sa décision, la première juge a estimé être suffisamment renseignée sur les actifs de la succession, lesquels comprenaient, au jour du décès, trois comptes pour un total de 22'432 fr. et un dépôt de titres d’une valeur de 25'262 francs. Au regard de la composition de la masse successorale et des mesures conservatoires ordonnées et prévues, il n’y avait pas de risque d’atteinte à la dévolution de la succession. Or, cette décision relative à une mesure de sûreté – en l’occurrence l’administration d’office prévue à l’art. 554 CC –, n'a fait l'objet d'aucun recours. Le recourant ne motive pas concrètement, et surtout ne rend pas du tout vraisemblable, en quoi une mesure d'inventaire au sens de l’art. 553 CC et la production de toutes les pièces qu'il a requises seraient nécessaires pour assurer la dévolution de la succession. On relèvera encore au passage que le décès remonte au 24 juin 2017 et que la requête d’inventaire du recourant, dans l’hypothèse où elle doive être comprise comme telle, a été formulée le 24 avril 2019, soit bien après le délai de deux mois à compter du décès pour procéder à l’établissement de l’inventaire conformément à l’art. 553 al. 2 CC.</w:t>
      </w:r>
    </w:p>
    <w:p>
      <w:r>
        <w:rPr>
          <w:b/>
        </w:rPr>
        <w:t>E. 4</w:t>
      </w:r>
    </w:p>
    <w:p>
      <w:r>
        <w:t>Il s’ensuit que le recours doit être rejeté, dans la mesure où il est recevable. Les frais judiciaires de deuxième instance, arrêtés à 400 fr. (art. 74 al. 1 TFJC [tarif des frais judiciaires en matière civile du 28 septembre 2010 ; BLV 270.11.5]), seront mis à la charge du recourant, qui succombe (art. 106 al. 1 CPC). Par ces motifs, la Chambre des recours civile du Tribunal cantonal, prononce : I. Le recours est rejeté dans la mesure où il est recevable. II. La décision est confirmée. III. Les frais judiciaires de deuxième instance, arrêtés à 400 fr. (quatre cents francs), sont mis à la charge du recourant F.V.________. IV. L’arrêt est exécutoire Le président :               Le greffier : Du L'arrêt qui précède, dont la rédaction a été approuvée à huis clos, est notifié à : ‑ [...] (pour F.V.________), ‑ Me Jean-Marie Favre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