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2019 / 560 vom 12. März 2019</w:t>
      </w:r>
    </w:p>
    <w:p>
      <w:r>
        <w:t>VD Tribunal cantonal, 2019-03-12, FR</w:t>
      </w:r>
    </w:p>
    <w:p>
      <w:r>
        <w:rPr>
          <w:b/>
        </w:rPr>
        <w:t xml:space="preserve">Quelle: </w:t>
      </w:r>
      <w:r>
        <w:t>https://mcp.opencaselaw.ch/entscheid/vd_findinfo_HC___2019___560</w:t>
      </w:r>
    </w:p>
    <w:p>
      <w:r>
        <w:t>FR: VD_FINDINFO HC / 2019 / 560 du 12 mars 2019</w:t>
      </w:r>
    </w:p>
    <w:p>
      <w:r>
        <w:t>IT: VD_FINDINFO HC / 2019 / 560 del 12 marzo 2019</w:t>
      </w:r>
    </w:p>
    <w:p>
      <w:pPr>
        <w:pStyle w:val="Heading2"/>
      </w:pPr>
      <w:r>
        <w:t>Regeste</w:t>
      </w:r>
    </w:p>
    <w:p>
      <w:r>
        <w:t>BAIL À LOYER, EXPULSION DE LOCATAIRE, CAS CLAIR, ADMISSION DE LA DEMANDE | 271 CO, 271a CO, 86 CO, 87 CO, 257 CPC (CH)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En définitive, l’appel doit être admis et l’ordonnance réformée en ce sens que la requête en cas clair déposée le 7 mai 2018 par l'intimée est déclarée irrecevable en tant qu’elle conserve un objet.</w:t>
      </w:r>
    </w:p>
    <w:p>
      <w:r>
        <w:rPr>
          <w:b/>
        </w:rPr>
        <w:t>E. 4.2</w:t>
      </w:r>
    </w:p>
    <w:p>
      <w:r>
        <w:t>Selon l’art. 318 al. 3 CPC, si l’instance d’appel statue à nouveau, elle se prononce sur les frais – soit les frais judiciaires et les dépens (art. 95 al. 1 CPC) – de la première instance. Vu l’issue du litige, les frais judiciaires de première instance, arrêtés à 280 fr., seront mis à la charge de l’intimée (art. 106 al. 1 CPC). Il n’y a pas lieu à l’allocation de dépens de première instance, dès lors que l’appelant n’était pas assisté d’un mandataire professionnel.</w:t>
      </w:r>
    </w:p>
    <w:p>
      <w:r>
        <w:rPr>
          <w:b/>
        </w:rPr>
        <w:t>E. 4.3</w:t>
      </w:r>
    </w:p>
    <w:p>
      <w:r>
        <w:t>Vu le sort de l’appel, les frais judiciaires de deuxième instance, arrêtés à 100 fr. (art. 62 al. 3, 69 al. 1 et 70 al. 4 TFJC [Tarif des frais judiciaires civils du 28 septembre 2010 ; BLV 270.11.5]), seront mis à la charge de l’intimée (art. 106 al. 1 CPC). En conséquence, l’intimée versera à l’appelant la somme de 100 fr. à titre de restitution d’avance de frais de deuxième instance (art. 111 al. 2 CPC). Obtenant gain de cause, l’appelant a droit de la part de l’intimée à des dépens de deuxième instance fixés à 1’500 fr. (art. 106 al. 1 CPC ; art. 7 TDC [tarif des frais judiciaires en matière civile du 28 septembre 2010 ; BLV 270.11.5]).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