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2019 / 457 vom 21. Mai 2019</w:t>
      </w:r>
    </w:p>
    <w:p>
      <w:r>
        <w:t>VD Tribunal cantonal, 2019-05-21, FR</w:t>
      </w:r>
    </w:p>
    <w:p>
      <w:r>
        <w:rPr>
          <w:b/>
        </w:rPr>
        <w:t xml:space="preserve">Quelle: </w:t>
      </w:r>
      <w:r>
        <w:t>https://mcp.opencaselaw.ch/entscheid/vd_findinfo_HC___2019___457</w:t>
      </w:r>
    </w:p>
    <w:p>
      <w:r>
        <w:t>FR: VD_FINDINFO HC / 2019 / 457 du 21 mai 2019</w:t>
      </w:r>
    </w:p>
    <w:p>
      <w:r>
        <w:t>IT: VD_FINDINFO HC / 2019 / 457 del 21 maggio 2019</w:t>
      </w:r>
    </w:p>
    <w:p>
      <w:pPr>
        <w:pStyle w:val="Heading2"/>
      </w:pPr>
      <w:r>
        <w:t>Regeste</w:t>
      </w:r>
    </w:p>
    <w:p>
      <w:r>
        <w:t>CONTRAT DE TRAVAIL, ANCIENNETÉ DE SERVICE, RÉSILIATION ABUSIVE, ATTESTATION | 328 CO, 330a al. 1 CO, 336 CO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Au vu de ce qui précède, l’appel, manifestement infondé, doit être rejeté selon l’art. 312 al. 1 CPC et le jugement querellé doit être confirmé. Les frais judiciaires de deuxième instance, arrêtés à 546 fr. (art. 62 al. 1 et 67 al. 3 TFJC [tarif des frais judiciaires civils du 28 septembre 2010 ; BLV 270.11.5]), seront mis à la charge de l’appelante, qui succombe (art. 106 al. 1 CPC). Il n’y a pas lieu d’allouer de dépens à l’intimée, qui n’a pas été invitée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