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2019 / 432 vom 8. Mai 2019</w:t>
      </w:r>
    </w:p>
    <w:p>
      <w:r>
        <w:t>VD Tribunal cantonal, 2019-05-08, FR</w:t>
      </w:r>
    </w:p>
    <w:p>
      <w:r>
        <w:rPr>
          <w:b/>
        </w:rPr>
        <w:t xml:space="preserve">Quelle: </w:t>
      </w:r>
      <w:r>
        <w:t>https://mcp.opencaselaw.ch/entscheid/vd_findinfo_HC___2019___432</w:t>
      </w:r>
    </w:p>
    <w:p>
      <w:r>
        <w:t>FR: VD_FINDINFO HC / 2019 / 432 du 8 mai 2019</w:t>
      </w:r>
    </w:p>
    <w:p>
      <w:r>
        <w:t>IT: VD_FINDINFO HC / 2019 / 432 del 8 maggio 2019</w:t>
      </w:r>
    </w:p>
    <w:p>
      <w:pPr>
        <w:pStyle w:val="Heading2"/>
      </w:pPr>
      <w:r>
        <w:t>Regeste</w:t>
      </w:r>
    </w:p>
    <w:p>
      <w:r>
        <w:t>RÉVISION{DÉCISION}, DEMANDE ADRESSÉE À L'AUTORITÉ, DÉCISION D'IRRECEVABILITÉ, MOTIF DE RÉVISION | 129 CPC (CH), 328 CPC (CH), 329 CPC (CH)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 vu de ce qui précède, la requête de révision doit être déclarée irrecevable selon le mode procédural de l'art. 330 CPC. Toute nouvelle requête abusive du même type sera renvoyée à son expéditeur, sans être traitée (art. 132 al. 3 CPC). Le présent arrêt peut être rendu sans frais judiciaires (art. 11 TFJC [tarif du 28 septembre 2010 des frais judiciaires civils, BLV 270.11.5]). Il n’y a pas matière à l’allocation de dépens, l’intimé n’ayant pas été invité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