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315 vom 10. April 2019</w:t>
      </w:r>
    </w:p>
    <w:p>
      <w:r>
        <w:t>VD Tribunal cantonal, 2019-04-10, FR</w:t>
      </w:r>
    </w:p>
    <w:p>
      <w:r>
        <w:rPr>
          <w:b/>
        </w:rPr>
        <w:t xml:space="preserve">Quelle: </w:t>
      </w:r>
      <w:r>
        <w:t>https://mcp.opencaselaw.ch/entscheid/vd_findinfo_HC___2019___315</w:t>
      </w:r>
    </w:p>
    <w:p>
      <w:r>
        <w:t>FR: VD_FINDINFO HC / 2019 / 315 du 10 avril 2019</w:t>
      </w:r>
    </w:p>
    <w:p>
      <w:r>
        <w:t>IT: VD_FINDINFO HC / 2019 / 315 del 10 aprile 2019</w:t>
      </w:r>
    </w:p>
    <w:p>
      <w:pPr>
        <w:pStyle w:val="Heading2"/>
      </w:pPr>
      <w:r>
        <w:t>Regeste</w:t>
      </w:r>
    </w:p>
    <w:p>
      <w:r>
        <w:t>CONSTATATION DES FAITS, TÉMOIN, APPRÉCIATION DES PREUVES, CONTRAT DE TRAVAIL, RÉSILIATION IMMÉDIATE, JUSTE MOTIF | 337 al. 1 CO, 157 CPC (CH), 308 al. 1 let. a CPC (CH), 308 al. 2 CPC (CH), 310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La réponse doit être déposée également dans un délai de trente jours (art. 312 al. 2 CPC). En l’espèce, l’appel, écrit et motivé, a été formé en temps utile par une partie qui a un intérêt digne de protection (art. 59 al. 2 let. a CPC), contre une décision finale de première instance rendue dans une cause patrimoniale, dont la valeur litigieuse est supérieure à 10'000 francs. La réponse a également été déposée en temps utile.</w:t>
      </w:r>
    </w:p>
    <w:p>
      <w:r>
        <w:rPr>
          <w:b/>
        </w:rPr>
        <w:t>E. 1.2</w:t>
      </w:r>
    </w:p>
    <w:p>
      <w:r>
        <w:t>Les pièces produites à l’appui de l’appel, soit les certificats d’arrêt de travail pour la période du 1 er avril au 31 mai 2018, sont postérieures à la clôture d’instruction de première instance. Partant, elles sont recevables selon l’art. 317 al. 1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2019, nn. 2 ss ad art. 310 CPC). Elle peut revoir librement l'appréciation des faits sur la base des preuves administrées en première instance (Jeandin, op. cit., n. 6 ad art. 310 CPC).</w:t>
      </w:r>
    </w:p>
    <w:p>
      <w:r>
        <w:rPr>
          <w:b/>
        </w:rPr>
        <w:t>E. 3</w:t>
      </w:r>
    </w:p>
    <w:p>
      <w:r>
        <w:t>L’appelante se plaint d’une constatation inexacte ou lacunaire des faits sur plusieurs points.</w:t>
      </w:r>
    </w:p>
    <w:p>
      <w:r>
        <w:rPr>
          <w:b/>
        </w:rPr>
        <w:t>E. 3.1</w:t>
      </w:r>
    </w:p>
    <w:p>
      <w:r>
        <w:t>in fine). Dans son appréciation, le juge doit notamment tenir compte de la position et de la responsabilité du travailleur, du type et de la durée des rapports contractuels, de la nature et de l'importance des manquements (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4C.95/2004 du 28 juin 2004 consid. 2). La position de l'employé, sa fonction et les responsabilités qui lui sont confiées peuvent entraîner un accroissement des exigences quant à sa rigueur et à sa loyauté (cf. ATF 130 III 28 consid. 4.1 ; 108 II 444 consid. 2b; TF 4A_124/2017 du 31 janvier 2018 consid. 3).</w:t>
      </w:r>
    </w:p>
    <w:p>
      <w:r>
        <w:rPr>
          <w:b/>
        </w:rPr>
        <w:t>E. 3.2</w:t>
      </w:r>
    </w:p>
    <w:p>
      <w:r>
        <w:t>L’appelante soutient qu’il serait faux et tendancieux d’affirmer que c’est à la suite de l’opération ratée à la clinique [...] que l’intimée a décidé de lui notifier un congé-modification. Même si le jugement est équivoque sur ce point – « à la suite » pouvant signifier « en raison de » ou simplement un lien chronologique –, l’intimée admet que cet épisode de la clinique [...] n’est pas à l’origine de la décision de modifier le cahier des charges de l’appelante. Une telle décision est intervenue en raison de l’absence de ventes effectuées par l’appelante, ce que les premiers juges ont expressément relevé et qui n’est pas contesté en appel.</w:t>
      </w:r>
    </w:p>
    <w:p>
      <w:r>
        <w:rPr>
          <w:b/>
        </w:rPr>
        <w:t>E. 3.3.1</w:t>
      </w:r>
    </w:p>
    <w:p>
      <w:r>
        <w:t>L’appelante remet en cause la crédibilité des déclarations de partie de C.________ et des témoins M.________ et T.________, au motif que ces derniers sont liés à l’intimée comme employés, respectivement directeur de la filiale française d’E.________ SA. L’appelante se plaint en outre que ces témoignages aient été préférés à ceux de son compagnon, [...].</w:t>
      </w:r>
    </w:p>
    <w:p>
      <w:r>
        <w:rPr>
          <w:b/>
        </w:rPr>
        <w:t>E. 3.3.2</w:t>
      </w:r>
    </w:p>
    <w:p>
      <w:r>
        <w:t>L'appréciation des témoignages par les premiers juges ne prête pas le flanc à la critique. Selon l'art. 157 CPC, le tribunal établit sa conviction par une libre appréciation des preuves administrées. Il n'y a pas lieu de dénier toute force probante à un témoignage du seul fait que son auteur est l'employé d'une partie dans un procès de droit du travail (Colombini, Code de procédure civile. Condensé de jurisprudence fédérale et vaudoise, n. 1.5 ad art. 169 CPC). Si l'on peut admettre qu'il faille examiner avec retenue le témoignage d'employés qui témoignent sur les pratiques de leur employeur, il n'en demeure pas moins que leur mensonge ne se présume pas, d'autant moins lorsqu'on ne voit pas quel intérêt personnel ils auraient à l'issue de la cause (CACI 18 août 2017/366).</w:t>
      </w:r>
    </w:p>
    <w:p>
      <w:r>
        <w:rPr>
          <w:b/>
        </w:rPr>
        <w:t>E. 3.3.3</w:t>
      </w:r>
    </w:p>
    <w:p>
      <w:r>
        <w:t>En l'espèce, le témoin T.________ est directeur commercial de la filiale [...] de [...] et le témoin M.________ est employée de l'intimée depuis 2016. Les premiers juges ont pu se faire une opinion personnelle de leur crédibilité et du caractère nuancé de leur déposition. L'appelante n'expose pas quel intérêt direct les témoins auraient au sort de la cause. Ceux-ci ont pu faire des constatations directes, contrairement au témoin [...], qui se contente de relater les impressions qu'il a eues à la suite des plaintes de sa compagne. Il était dès lors admissible de se fonder sur les témoignages concordants des témoins T.________ et M.________, corroborés par la déclaration de partie de C.________ pour apprécier les faits, et d'écarter le témoignage de [...].</w:t>
      </w:r>
    </w:p>
    <w:p>
      <w:r>
        <w:rPr>
          <w:b/>
        </w:rPr>
        <w:t>E. 3.3.3.1</w:t>
      </w:r>
    </w:p>
    <w:p>
      <w:r>
        <w:t>L’appelante conteste avoir présenté des lacunes dans ses compétences et dit n’avoir été l’objet d’aucune remise à l’ordre, remarque ou avertissement. Sur ce point, il ressort d’un courriel du 9 novembre 2016 qu’elle écrivait elle-même à C.________ ce qui suit : « j’abonde dans ton sens quand tu me dis que je ne peux pas rester responsable des ventes pour une société qui ne fait pas de vente. Tu as raison et les choses, de mon côté, vont évolués ( sic ) rapidement ». Cela démontre que des remarques lui avaient été faites sur l’absence de résultats. En outre, au vu des témoignages concordants de M.________ et T.________ – lesquels ne doivent pas être écartés (cf. supra consid. 3.3.3) –, qui sont corroborés par la déclaration de partie de C.________, l’état de fait concernant les lacunes de compétences de l’appelante peut être confirmé.</w:t>
      </w:r>
    </w:p>
    <w:p>
      <w:r>
        <w:rPr>
          <w:b/>
        </w:rPr>
        <w:t>E. 3.3.3.2</w:t>
      </w:r>
    </w:p>
    <w:p>
      <w:r>
        <w:t>Contrairement à ce que soutient l’appelante, le fait qu’elle se soit plainte d’un manque de formation, d’un manque de marketing, de l’inadéquation de la liste des prix, de l’absence d’échantillons et de stock de marchandise ne constitue pas la preuve des griefs qui y sont articulés. Au contraire, les témoins M.________ et T.________ ont attesté de formations suffisantes, la première ayant confirmé l’existence d’un stock de matériel suffisant.</w:t>
      </w:r>
    </w:p>
    <w:p>
      <w:r>
        <w:rPr>
          <w:b/>
        </w:rPr>
        <w:t>E. 3.4</w:t>
      </w:r>
    </w:p>
    <w:p>
      <w:r>
        <w:t>L’appelante considère que le tribunal aurait passé à tort sous silence l’état psychologique qui a conduit à son incapacité de travail. Elle se prévaut à cet égard du certificat de la Dre [...] du 28 novembre 2016 qui, dans l'anamnèse relève que la patiente « présente depuis 6 derniers mois de problèmes avec son patron. Selon la patiente des menaces de démissionné la patiente et accusation d'effectuer en mouvais travaille constant et repetitive met la patiente dans une situation de stress, peur de retourner au travaille et perturbation du sommeil ce dernier temps. Thymie très labile. Des problèmes également étique par rapport le fonctionnement de l'etreprise entre les exportation entre [...] et [...]. Pas de perte du poids mais insomnie et stress et thymie dépressive [...] Status : Patiente en pleure et angoissée par la situation pendant toute l'anamnèse. […] Diagnostic: Burnout professionnel ( sic ) ». Elle mentionne également un certificat du 4 septembre 2017 de la Dre [...], qui certifie suivre la patiente pour burnout professionnel depuis le 28 novembre 2016 et relève qu'elle présentait un trouble anxio-dépressif important avec crises d'angoisses, insomnies, pleurs, perte d'élan vital. Si l'on peut compléter l'état de fait en retenant que l'appelante était en burnout et souffrait d'un état anxio-dépressif depuis le 28 novembre 2016, on ne saurait retenir sur la base de la seule anamnèse, fondée sur le récit du patient, que ces troubles seraient liés à des pressions psychologiques qu'elle aurait subies au travail, notamment de la part de C.________. Au contraire, de telles pressions sont infirmées par le témoignage de M.________.</w:t>
      </w:r>
    </w:p>
    <w:p>
      <w:r>
        <w:rPr>
          <w:b/>
        </w:rPr>
        <w:t>E. 3.5</w:t>
      </w:r>
    </w:p>
    <w:p>
      <w:r>
        <w:t>Selon l'appelante, la procédure n'aurait révélé aucune preuve suffisante du dommage allégué, en lien avec l'opération fictive planifiée par l'appelante. Contrairement à ce qu'elle affirme, les déclarations de C.________ sont confirmées par le courriel de l’appelante du 28 novembre 2016, lorsqu’elle demande l'envoi de certains instruments médicaux.</w:t>
      </w:r>
    </w:p>
    <w:p>
      <w:r>
        <w:rPr>
          <w:b/>
        </w:rPr>
        <w:t>E. 4.1</w:t>
      </w:r>
    </w:p>
    <w:p>
      <w:r>
        <w:t>En droit, l'appelante conteste les justes motifs de résiliation. Elle considère que le tribunal n’aurait à tort pas retenu le repentir sincère et immédiat qu’elle avait exprimé avant la décision de licenciement. Il n'aurait à tort pas retenu que son écart de conduite s'expliquait par un état psychique très perturbé, tirant sa source dans le propre comportement inadéquat et les manquements de l'employeur. Il n'aurait enfin pas tenu compte du fait qu'il s'agissait d'un événement isolé.</w:t>
      </w:r>
    </w:p>
    <w:p>
      <w:r>
        <w:rPr>
          <w:b/>
        </w:rPr>
        <w:t>E. 4.2</w:t>
      </w:r>
    </w:p>
    <w:p>
      <w:r>
        <w:t>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 le juge apprécie librement s'il existe de justes motifs (art. 337 al. 3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4A_124/2017 du 31 janvier 2018 consid. 3). Lorsqu'il est moins grave, le manquement ne peut entraîner une résiliation immédiate que s'il a été répété malgré un avertissement (ATF 142 III 579 consid. 4.2 ; ATF 130 III 213 consid. 3.1).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(cf. TF 4A_397/2014 du 17 décembre 2014 consid.</w:t>
      </w:r>
    </w:p>
    <w:p>
      <w:r>
        <w:rPr>
          <w:b/>
        </w:rPr>
        <w:t>E. 4.3</w:t>
      </w:r>
    </w:p>
    <w:p>
      <w:r>
        <w:t>En l'espèce, l'appelante a créé de toutes pièces une opération fictive chez un client potentiel. Cette opération a engendré des coûts, en ce sens que l'intimée a dû s'assurer que le matériel exigé pour la chirurgie serait présent, ainsi qu'un collaborateur de l'entreprise pour assister à l'opération. Par ailleurs, cette création de toutes pièces d'une chirurgie chez un potentiel client a porté préjudice à l'image de l'intimée, qui n'a pas pu créer une relation d'affaires avec le client en question. Une telle mise en scène, propre à décrédibiliser de manière importante l'intimée aux yeux de tiers, constitue, comme les premiers juges l'ont retenu, une violation grave et fautive du devoir de fidélité. Un tel comportement, à l'égal par exemple de la falsification d'une attestation de salaire établie au nom de l'employeur, afin d'obtenir le bail de l'appartement qu'il convoitait, après que le responsable financier eut refusé de lui délivrer un tel document (CACI 28 août 2015/376, confirmé par TF 4A_515/2015 du 21 juin 2016), était bel et bien propre à entraîner la rupture du rapport de confiance à la base du contrat liant les parties. Le fait qu'il se soit agi d'un acte isolé est sans pertinence, au vu de la gravité de la violation du devoir de fidélité commise. De même, le repentir allégué doit être fortement relativisé, le courriel d'explications n'ayant été envoyé qu'après découverte de la tromperie, soit le 29 novembre 2016 à 15h12. D'autre part, si l'appelante y exprimait ses excuses, elle tentait également de reporter la responsabilité de ses actes sur les pressions subies par l'employeur, pressions qui n'ont pas été établies en procédure (cf. supra consid. 3.4). Au contraire, l'employeur a, quand bien même l'appelante n'avait réalisé aucune vente au cours de son activité en tant que directrice régionale des ventes, proposé à cette dernière un poste en son sein plus en adéquation avec ses compétences, plutôt que de la licencier purement et simplement. Enfin, l'état psychique de l'appelante, qui se trouvait en incapacité de travail en raison d'un état dépressif, ne suffit pas pour exclure la rupture immédiate des liens de confiance. On relèvera qu'il a fallu une volonté ferme pour orchestrer et mettre sur pied l'opération fictive, le courriel du 28 novembre 2016 étant particulièrement détaillé et crédible quant au matériel nécessaire et à l'opération fictive envisagée, au point que l'employeur y a donné suite avant de découvrir la tromperie. L'appréciation des premiers juges qui ont admis l'existence de justes motifs de résiliation immédiate ne prête pas le flanc à la critique.</w:t>
      </w:r>
    </w:p>
    <w:p>
      <w:r>
        <w:rPr>
          <w:b/>
        </w:rPr>
        <w:t>E. 5.1</w:t>
      </w:r>
    </w:p>
    <w:p>
      <w:r>
        <w:t>L'appelante fait encore valoir que les premiers juges ont omis de statuer sur ses conclusions relatives au droit aux vacances et au paiement d'une participation au chiffre d'affaires réalisé auprès du Dr S.________.</w:t>
      </w:r>
    </w:p>
    <w:p>
      <w:r>
        <w:rPr>
          <w:b/>
        </w:rPr>
        <w:t>E. 5.2</w:t>
      </w:r>
    </w:p>
    <w:p>
      <w:r>
        <w:t>L'autorité qui ne statue pas sur une conclusion ou sur un grief motivé de façon suffisante et relevant de sa compétence commet un déni de justice proscrit par l'art. 29 al. 1 Cst (ATF 135 I 6 consid. 2.1 ; ATF 134 I 229 consid. 2.3 ; TF 5A_894/2016 du 26 juin 2017 consid. 4.1 ; TF 5A_400/2017 du 11 août 2017 consid. 4.1; Colombini, op. cit., n. 14 ad art. 53 CPC).</w:t>
      </w:r>
    </w:p>
    <w:p>
      <w:r>
        <w:rPr>
          <w:b/>
        </w:rPr>
        <w:t>E. 5.3</w:t>
      </w:r>
    </w:p>
    <w:p>
      <w:r>
        <w:t>Le moyen est fondé. Le sort des conclusions relatives à l'indemnisation du droit aux vacances et au paiement d'une participation au chiffre d'affaires réalisé auprès du Dr S.________ est indépendant de celui des conclusions relatives au licenciement immédiat. Le rejet de ces dernières ne dispensait pas les premiers juges d'examiner le bien-fondé, voire la recevabilité des premières. Afin de sauvegarder le droit des parties à la double instance, le jugement doit être annulé sur ces points, les premiers juges étant invités à instruire et à statuer sur la recevabilité des conclusions – celle-ci étant mise en cause par l'intimée sous l'angle de l'art. 85 al. 1 CPC – relatives au paiement d'une participation au chiffre d'affaires, respectivement, au cas où elle devrait être recevable, sur le bien-fondé de cette conclusion, ainsi que sur celle relative au paiement du droit aux vacances.</w:t>
      </w:r>
    </w:p>
    <w:p>
      <w:r>
        <w:rPr>
          <w:b/>
        </w:rPr>
        <w:t>E. 6</w:t>
      </w:r>
    </w:p>
    <w:p>
      <w:r>
        <w:t>Au vu de ce qui précède, l’appel doit être partiellement admis, le jugement annulé et la cause renvoyée aux premiers juges pour qu’ils instruisent et statuent dans le sens du considérant susmentionné (art. 318 al. 1 let. c CPC), le jugement étant confirmé pour le surplus. L'issue de la cause sur les conclusions faisant l'objet du renvoi reste incertaine. En outre, l'instruction a essentiellement porté sur la question des justes motifs. Ainsi, l’appelante doit être considérée comme la partie qui succombe au sens de l’art. 106 al. 1 CPC. Vu la valeur litigieuse inférieure à 30'000 fr., l’arrêt sera rendu sans frais (art. 114 let. c CPC). En revanche, les dépens de deuxième instance, réduits à 1'600 fr. (art. 7 TDC [tarif des dépens en matière civile du 23 novembre 2010 ; BLV 270.11.6]), seront mis à la charge de l’appelante, qui versera cette somme à ce titre à l’intimée (art. 106 al. 1 et 122 al. 1 let. d CPC).</w:t>
      </w:r>
    </w:p>
    <w:p>
      <w:r>
        <w:rPr>
          <w:b/>
        </w:rPr>
        <w:t>E. 7</w:t>
      </w:r>
    </w:p>
    <w:p>
      <w:r>
        <w:t>Le conseil de l’appelante, Me Michael Rudermann, a indiqué dans sa liste d’opérations avoir consacré 8h50 au dossier, dont 10 minutes destinées à la rédaction d’une lettre adressée au Tribunal de prud’hommes pour demander la motivation du jugement querellé et d’un courriel à sa cliente, et 40 minutes destinées à la lecture du jugement motivé, de même qu’à la rédaction d’un courriel à l’appelante. Or, il s’agit d’opérations effectuées dans le cadre de la procédure de première instance. Partant, compte tenu également de la nature et de la complexité de l’affaire, il se justifie de réduire à 8 heures le temps consacré à ce dossier en procédure d’appel. Il s’ensuit qu’au tarif horaire de 180 fr. pour un avocat breveté, l’indemnité d’office de Me Rudermann doit être fixée à 1'440 fr., montant auquel s’ajoutent la TVA par 110 fr. 90 et un montant forfaitaire de débours de 10 fr., soit un montant total de 1'560 fr. 90, arrondi à 1'561 francs.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