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300 vom 8. April 2019</w:t>
      </w:r>
    </w:p>
    <w:p>
      <w:r>
        <w:t>VD Tribunal cantonal, 2019-04-08, FR</w:t>
      </w:r>
    </w:p>
    <w:p>
      <w:r>
        <w:rPr>
          <w:b/>
        </w:rPr>
        <w:t xml:space="preserve">Quelle: </w:t>
      </w:r>
      <w:r>
        <w:t>https://mcp.opencaselaw.ch/entscheid/vd_findinfo_HC___2019___300</w:t>
      </w:r>
    </w:p>
    <w:p>
      <w:r>
        <w:t>FR: VD_FINDINFO HC / 2019 / 300 du 8 avril 2019</w:t>
      </w:r>
    </w:p>
    <w:p>
      <w:r>
        <w:t>IT: VD_FINDINFO HC / 2019 / 300 del 8 aprile 2019</w:t>
      </w:r>
    </w:p>
    <w:p>
      <w:pPr>
        <w:pStyle w:val="Heading2"/>
      </w:pPr>
      <w:r>
        <w:t>Regeste</w:t>
      </w:r>
    </w:p>
    <w:p>
      <w:r>
        <w:t>DONATION, CAPACITÉ DE DISCERNEMENT, VOLONTÉ D'ACCOMPLIR L'ACTE | 16 CC, 239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CPC). L'appel, écrit et motivé, doit être introduit auprès de l'instance d'appel dans les trente jours à compter de la notification de la décision motivée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lorsqu’ils auraient pu être invoqués en première instance en faisant preuve de la diligence requise (Colombini, Condensé de la jurisprudence fédérale et vaudoise relative à l’appel et au recours en matière civile, in : JdT 2013 III 131 ss, n. 40 p. 150 et les références citées).</w:t>
      </w:r>
    </w:p>
    <w:p>
      <w:r>
        <w:rPr>
          <w:b/>
        </w:rPr>
        <w:t>E. 2.3</w:t>
      </w:r>
    </w:p>
    <w:p>
      <w:r>
        <w:t>En l’espèce, l’appelante se prévaut de la date à laquelle le Dr H.________ aurait signalé la situation des époux U.________ au tribunal tutélaire. Ce fait, qui n’a pas été allégué en première instance, est irrecevable en appel, faute pour l’appelante de démontrer que les conditions de l’art. 317 CPC seraient remplies. Il en va de même de celui qui en découle, selon lequel B.U.________ aurait été sous influence au moins dès fin septembre 2012. Les conditions de recevabilité précitées ne sont pas non plus réunies s’agissant des pièces nouvelles produites par l’intimée à l’appui de sa réponse du 23 octobre 2018 et des faits nouveaux allégués par l’appelante dans sa réplique du 26 octobre 2018 et qui ne sont d’ailleurs pas établis.</w:t>
      </w:r>
    </w:p>
    <w:p>
      <w:r>
        <w:rPr>
          <w:b/>
        </w:rPr>
        <w:t>E. 3.1</w:t>
      </w:r>
    </w:p>
    <w:p>
      <w:r>
        <w:t>En l'espèce, les virements litigieux ont été effectués entre le 27 décembre 2011 et le 29 octobre 2012 en faveur de l'intimée, respectivement du compte ouvert au nom de l'époux de celle-ci, depuis le compte ouvert au nom de l'appelante et de feu son époux, respectivement du compte ouvert au nom de feu l'époux de l'appelante. L'appelante réclame la restitution des montants y afférents, pour un total de 86'100 francs. Elle invoque que les transferts ne reposeraient sur aucune cause valable, faute de donation valable. Elle fonde ses prétentions sur les règles sur l'enrichissement illégitime et sur l'art. 41 CO. Il convient d'examiner si les montants litigieux ont été donnés valablement à l'intimée. Cela implique que leur titulaire ait eu, au moment pertinent, la capacité de discernement lui permettant de procéder à une donation, qu'il ait effectué les transferts dans l'intention de procéder à une donation en faveur de l'intimée et que l'intimée ait accepté ladite donation.</w:t>
      </w:r>
    </w:p>
    <w:p>
      <w:r>
        <w:rPr>
          <w:b/>
        </w:rPr>
        <w:t>E. 3.2</w:t>
      </w:r>
    </w:p>
    <w:p>
      <w:r>
        <w:t>Selon l'art. 239 al. 1 CO, la donation est la disposition entre vifs par laquelle une personne cède tout ou partie de ses biens à une autre sans contre-prestation correspondante. Toute personne ayant l'exercice des droits civils peut disposer de ses biens par donation, sauf les restrictions dérivant du régime matrimonial ou du droit des successions (art. 240 al. 1 CO). La donation est un contrat. Elle suppose donc un accord des parties sur un transfert patrimonial à titre gratuit (art. 1 al. 1 CO). En conséquence, la donation doit être acceptée. L'acceptation peut intervenir par actes concluants (art. 1 al. 2 CO) et, comme la donation ne présente que des avantages pour le donataire, elle peut être tacite (art.</w:t>
      </w:r>
    </w:p>
    <w:p>
      <w:r>
        <w:rPr>
          <w:b/>
        </w:rPr>
        <w:t>E. 3.3</w:t>
      </w:r>
    </w:p>
    <w:p>
      <w:r>
        <w:t>Est capable de discernement, au sens de l'art. 16 CC, dans sa teneur entrée en vigueur le 1 er janvier 2013 et applicable depuis lors (art. 14 tit. fin.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Les conditions de l'incapacité de discernement constituent des faits dirimants qui entraînent l'inefficacité de l'acte (cf. déjà ATF 45 II 43 consid. 3 ; TF 5A_951/2016 du 14 septembre 2017 consid. 3.1.2 ; Walter, Berner Kommentar, 2012, n. 494 ad art.</w:t>
      </w:r>
    </w:p>
    <w:p>
      <w:r>
        <w:rPr>
          <w:b/>
        </w:rPr>
        <w:t>E. 3.4</w:t>
      </w:r>
    </w:p>
    <w:p>
      <w:r>
        <w:t>En l'espèce, dès lors que la capacité de discernement des époux U.________, nécessaire pour disposer de leurs biens par donation (art. 240 al. 1 CO), est contestée, il convient d'examiner à quelle date cette capacité de discernement devait être présente. Il n'est pas établi qu'une promesse de donner ait été passée par l'appelante et/ou son époux par écrit en faveur de l'intimée. Aucun engagement de donner valable au sens de l'art. 243 al. 1 CO ne peut ainsi être retenu. Seule une confirmation d'une promesse de donner, respectivement une donation manuelle, pourrait ainsi entrer en considération. L'une comme l'autre aurait lieu par la remise à l'intimée des sommes litigieuses (art. 242 al. 1 CC). L'intimée disposait d'une procuration générale sur les comptes sur lesquels les prélèvements ont eu lieu, ce depuis le 17 août 2011, comptes toujours bien approvisionnés au vu des pièces produites. On peut donc se demander si la donation manuelle, serait-elle admise, pourrait être considérée comme déjà parfaite au moment où les époux U.________ auraient accepté, fin 2011, d'aider l'intimée et sa famille, dès lors que dès cette date, l'intimée pouvait, grâce à sa procuration générale, procéder aux prélèvements découlant d'une telle décision (cf. question similaire laissée ouverte in ATF 136 III 142 consid. 3.4 p. 146). Dans la mesure toutefois où l'intimée invoque que les montants litigieux n'auraient été donnés par les époux U.________ qu'afin de couvrir des besoins particuliers de l'intimée et sa famille, on doit considérer que la donation, si elle est admise, n'a été faite par les époux U.________ et acceptée par l'intimée – et donc que le contrat de donation n'est venu à chef – que dès la survenance desdits besoins et le transfert effectif des montants litigieux. Ce n'est en effet que dès que l'intimée, représentant les époux U.________, aurait donné l'ordre de virer chacun des montants en sa faveur, via le compte ouvert au nom de son époux, qu'elle aurait manifesté sa volonté d'accepter la donation (dans ce sens ATF 136 III 142 consid. 3.4 p. 146). C'est donc au moment de chacun des virements litigieux que le propriétaire des montants débités devait avoir la capacité de discernement.</w:t>
      </w:r>
    </w:p>
    <w:p>
      <w:r>
        <w:rPr>
          <w:b/>
        </w:rPr>
        <w:t>E. 3.5.1</w:t>
      </w:r>
    </w:p>
    <w:p>
      <w:r>
        <w:t>En l'espèce, les montants litigieux ont été débités d'une part d'un compte au nom de feu B.U.________ seul, d'autre part d'un compte au nom de l'appelante et de B.U.________. Aux termes de l'art. 168 CC, chaque époux peut, sauf disposition légale contraire, faire tous actes juridiques avec son conjoint et avec les tiers. Faute d'élément contraire, il convient de retenir que les époux U.________ étaient soumis au régime ordinaire de la participation aux acquêts (art. 181 CC), prévu par les art. 196 ss CC. En vertu de l'art. 200 al. 1 et 2 CC, quiconque allègue qu'un bien appartient à l'un ou à l'autre des époux est tenu d'en établir la preuve. A défaut de cette preuve, le bien est présumé appartenir en copropriété aux deux époux. Conformément à l'art. 201 al. 1 CC, chaque époux a l'administration, la jouissance et la disposition de ses acquêts et de ses biens propres, dans les limites de la loi. Selon l'art. 201 al. 2 CC, lorsqu'un bien appartient en copropriété aux deux époux, aucun d'eux ne peut, sauf convention contraire, disposer de sa part sans le consentement de l'autre. Au vu de l'allégation de l'intimée que les deux comptes desquels les montants litigieux ont été débités étaient détenus par les époux U.________ (réponse, ad all. 11), faute d'allégation et d'élément contraire et compte tenu de la teneur de l'art. 200 al. 1 et 2 CC, il convient de considérer que l'ensemble des montants débités appartenaient en copropriété auxdits époux. Pour qu'une donation soit valable, eût-elle existé, il était donc nécessaire que les deux époux aient la capacité de discernement au moment de chacun des virements litigieux.</w:t>
      </w:r>
    </w:p>
    <w:p>
      <w:r>
        <w:rPr>
          <w:b/>
        </w:rPr>
        <w:t>E. 3.5.2</w:t>
      </w:r>
    </w:p>
    <w:p>
      <w:r>
        <w:t>S'agissant de la capacité de discernement de B.U.________, le TPAE a certes prononcé, le 3 octobre 2013, à la suite d'une expertise psychiatrique datant du 5 juillet 2013, une mesure de curatelle de portée générale en faveur de B.U.________. Cela n'impliquait toutefois pas que B.U.________ ait déjà été privé de sa capacité de discernement entre le 27 décembre 2011 et le 29 octobre 2012, période durant laquelle des virements litigieux ont été effectués. Le fait que le notaire et les témoins ayant assisté à l'instrumentation du testament public des époux U.________ le 7 décembre 2011 aient unanimement attesté de la capacité de discernement de B.U.________ permet de retenir que ce dernier disposait toujours de sa capacité de discernement autour de cette période. Le fait d'instituer l'intimée seule héritière en décembre 2011, puis quelques semaines après de l'aider alors qu'elle indique que sa famille et elle rencontrent des difficultés financières importantes est en outre cohérent. Le Dr H.________ est le médecin généraliste des époux U.________. Il les voyait à peu près toutes les trois semaines durant l'année ayant précédé son signalement auprès du TPAE, signalement qui a donné lieu à la mesure susmentionnée. Ce témoin a attesté de la capacité de discernement de B.U.________. De la sorte, il convient de constater qu'au moment des virements litigieux, il n'a pas été établi, même au degré de la vraisemblance prépondérante, que B.U.________ se serait trouvé dans l'un des états de faiblesse visé par l'art. 16 CC, encore moins que cet état l'aurait privé d'agir raisonnablement. Cette preuve n'a en effet pas été apportée, les témoins dont l'appelante avait requis l'audition à l'appui de son allégué 38 ayant au contraire attesté de la capacité de discernement de B.U.________, respectivement n'ayant pas indiqué l'inverse pour la période litigieuse. La présomption posée par l'art. 16 CC n'a ainsi pas été renversée s'agissant de B.U.________ pour la période durant laquelle les virements litigieux ont été opérés. La Cour retiendra en conséquence qu'il avait la capacité de discernement au moment de ces virements.</w:t>
      </w:r>
    </w:p>
    <w:p>
      <w:r>
        <w:rPr>
          <w:b/>
        </w:rPr>
        <w:t>E. 3.5.3</w:t>
      </w:r>
    </w:p>
    <w:p>
      <w:r>
        <w:t>L'appelante a quant à elle fait l'objet d'une mesure de curatelle de portée générale par ordonnance du TPAE le 3 octobre 2013, sur la base d'une expertise datant du 25 juin 2013, dans laquelle l'expert concluait que l'appelante présentait un état de démence modéré à sévère, assimilable à une déficience mentale, qu'en raison de ses troubles démentiels elle n'était pas à même de comprendre les tenants et aboutissant de situations complexe en lien avec, notamment, la gestion de son patrimoine et qu'une restriction totale de l'exercice de ses droits civils était nécessaire. De l'autre côté, à nouveau, trois témoins ont attesté que l'appelante était capable de discernement en date du 7 décembre 2011 lors de l'instrumentation du testament public déjà évoqué ci-dessus. Le filleul de l'appelante, respectivement fils de l'intimée, a quant à lui attesté que l'appelante était parfaitement claire au moment des versements litigieux. Ces éléments permettent de se convaincre que la santé de l'appelante s'est péjorée. Ils n'établissent en revanche pas que celle-ci était déjà dans un état de faiblesse la rendant de manière générale incapable d'agir raisonnablement entre décembre 2011 et octobre 2012. A cet égard, on relève certes le témoignage du médecin généraliste des époux U.________, selon lequel l'appelante n'était plus capable de discernement. Le témoin n'indique toutefois pas à quelle date il a fait ce constat. Le témoin déclare d’ailleurs également que l'appelante n'avait pas « une capacité de discernement aussi clairvoyante que celle de son mari », ce qui est plus modéré, de même que l'appelante présentait « un léger ralentissement intellectuel », ce qui à nouveau n'impliquait pas une incapacité durable d’agir raisonnablement. Quoi qu'il en soit, les déclarations de ce témoin ne permettent pas de déterminer à partir de quelle date ce médecin, qui s'est occupé des époux U.________ durant toute l'année 2012, aurait estimé que la capacité de discernement de l'appelante aurait été réduite voire supprimée. Il n'y a en particulier pas lieu, comme le voudrait l'appelante, de considérer, faute de date, que le médecin aurait parlé de manière globale pour toute la période durant laquelle il s'est occupé des époux U.________. La lecture de son témoignage n'offre pas de prise à une telle interprétation. Le fait que le TPAE n'ait désigné, retenant l'urgence, un curateur à l'appelante qu'en date du 5 décembre 2012 laisse bien penser que rien ne lui avait été rapporté bien avant cette date. Or le Dr H.________ voyait les époux U.________ toutes les trois semaines et n'a pas procédé à un signalement concernant l'appelante avant celui ayant donné lieu, d'urgence, à une mesure en décembre 2012 seulement. Ces éléments ne permettent ainsi pas de retenir qu'au moment des transferts litigieux, qui ont commencé peu après une séance au sujet de laquelle trois témoins, dont la probité ne saurait être remise en question, ont attesté de la capacité de discernement de l'appelante, celle-ci se serait déjà trouvée durablement dans un état de faiblesse d'esprit qui l'aurait privée d'agir raisonnablement. La présomption de fait découlant de l'art. 16 CC doit ainsi être ici considérée comme non renversée au moment des virements litigieux et l'appelante capable de discernement lors de chacun des virements litigieux.</w:t>
      </w:r>
    </w:p>
    <w:p>
      <w:r>
        <w:rPr>
          <w:b/>
        </w:rPr>
        <w:t>E. 3.6</w:t>
      </w:r>
    </w:p>
    <w:p>
      <w:r>
        <w:t>Il convient ensuite d'examiner si l'on peut considérer que les époux U.________ ont décidé de disposer des avoirs litigieux en faveur de l'intimée.</w:t>
      </w:r>
    </w:p>
    <w:p>
      <w:r>
        <w:rPr>
          <w:b/>
        </w:rPr>
        <w:t>E. 3.6.1</w:t>
      </w:r>
    </w:p>
    <w:p>
      <w:r>
        <w:t>Aucun élément ne permet de remettre en question la probité de l'intimée, nombre de témoins ayant au contraire confirmé ladite probité. Il ressort de plus des preuves administrées qu’elle était très liée aux époux U.________, depuis de nombreuses années. Alors qu'ils n'avaient aucun lien strictement familial, les époux J.________ avaient ainsi demandé, en 1990, à l'appelante d'être la marraine de leur fils. En 2011, vingt ans plus tard, les époux U.________ avaient octroyé à l'intimée sur leur compte une procuration sans restriction. Quelques mois plus tard, fin 2011, ils l'avaient instituée leur unique héritière en cas de prédécès ou de décès simultanés. Leur capacité de discernement à ce moment-là n'est pas contestable au vu des éléments du dossier. De son côté, malgré l'absence de liens familiaux, l'intimée s'est occupée très assidument des époux U.________, s'occupant en particulier de trouver du personnel pour eux, de l'instruire régulièrement et de le payer, ce que le témoin D.________ a confirmé. Le Dr H.________ a quant à lui confirmé que l'intimée s'occupait de régler les factures des époux U.________. La procuration octroyée sur les deux comptes litigieux ne fait d'ailleurs que confirmer que les époux U.________ souhaitaient que l'intimée puisse exécuter des opérations sur leurs comptes, pour eux. Aucune contre-prestation financière n'était prévue pour ces soins importants. Au vu de ces éléments, confirmés par les témoignages du mari et du fils de l'intimée, respectivement filleule de l'appelante, et du fait que B.U.________ était âgé et ne bénéficiait pas d'une bonne vue, il convient de constater que B.U.________ avait bien délégué à l'intimée l'exécution des versements bancaires à effectuer sur les comptes dont il était (co)propriétaire. Ces éléments permettent d'ailleurs de confirmer, malgré les liens familiaux existant entre eux, la valeur probante à accorder au mari et au fils de l'intimée dans leurs témoignages respectifs. Les déclarations de ces derniers sont en outre concordantes – lorsqu'ils déposent les deux sur un même fait – et crédibles et ne sont contredites par aucun élément au dossier, le contexte bienveillant existant entre les époux U.________ et l'intimée allant au contraire clairement en faveur d'une assistance de l'intimée également pour l'exécution des paiements bancaires auxquels B.U.________ souhaitait procéder. Au vu de l'ensemble de ces éléments, la Cour retiendra comme établi le système invoqué par l'intimée et confirmé par son fils, à savoir qu’au bénéfice d'une procuration donnée par les époux U.________ sur les comptes en 17 août 2011, l'intimée effectuait des versements en accord avec B.U.________, ceux-ci étant ensuite vérifiés par ce dernier. Il en résulte que la Cour retient que B.U.________, alors capable de discernement, a consenti aux différents virements litigieux effectués depuis les comptes dont il était (co)propriétaire.</w:t>
      </w:r>
    </w:p>
    <w:p>
      <w:r>
        <w:rPr>
          <w:b/>
        </w:rPr>
        <w:t>E. 3.6.2</w:t>
      </w:r>
    </w:p>
    <w:p>
      <w:r>
        <w:t>Au vu des témoignages recueillis, notamment des déclarations d’B.J.________ selon lesquelles l’intimée passait systématiquement les relevés bancaires en revue avec B.U.________, de celles du Dr H.________ qui a indiqué que « tout reposait sur M. B.U.________ », des déclarations de C.J.________ qui a confirmé, au sujet de l’appelante, que « tout ce qui était l’administratif du quotidien ce n’était pas elle qui s’en chargeait » et qu’il était exact que ce qu’il voulait dire par là était « que Mme A.U.________ s’en remettait à son mari pour traiter et régler toutes les questions administratives relevant du quotidien », il convient également de retenir que c'est B.U.________ qui gérait les finances du couple et décidait des paiements pour celui-ci, avec l'accord tacite de son épouse, une telle répartition des choses n'ayant par ailleurs rien d'original. Dès lors, il conviendra de retenir que l'appelante avait à tout le moins tacitement accepté les différents virements effectués en faveur de l'intimée.</w:t>
      </w:r>
    </w:p>
    <w:p>
      <w:r>
        <w:rPr>
          <w:b/>
        </w:rPr>
        <w:t>E. 3.7</w:t>
      </w:r>
    </w:p>
    <w:p>
      <w:r>
        <w:t>Il reste à examiner si ces transferts sont intervenus sans contre-prestation correspondante, soit à titre de donation.</w:t>
      </w:r>
    </w:p>
    <w:p>
      <w:r>
        <w:rPr>
          <w:b/>
        </w:rPr>
        <w:t>E. 3.7.1</w:t>
      </w:r>
    </w:p>
    <w:p>
      <w:r>
        <w:t>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 en pareil cas, l'accord est de droit (ou normatif).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p. 98 et les références citées).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Les circonstances déterminantes à cet égard sont uniquement celles qui ont précédé ou accompagné la manifestation de volonté, à l’exclusion des événements postérieurs (ATF 144 Ill 93 consid. 5.2.3 p. 98 s. et les références citées).</w:t>
      </w:r>
    </w:p>
    <w:p>
      <w:r>
        <w:rPr>
          <w:b/>
        </w:rPr>
        <w:t>E. 3.7.2</w:t>
      </w:r>
    </w:p>
    <w:p>
      <w:r>
        <w:t>En l'espèce, aucun écrit n'a accompagné les virements litigieux. En revanche ceux-ci ont été faits dans un contexte de rapports quasi-familiaux et de confiance entre les époux U.________ d'une part et l'intimée d'autre part. Celle-ci effectuait ainsi de nombreuses tâches pour les époux U.________ sans attendre aucune contre-prestation ou rémunération de leur part. Aucun des témoins entendus n'a mis en doute sa probité ou son dévouement pour les époux U.________. C'est par ailleurs elle qui, inquiète de l'influence de l'aide-soignante engagée fin août 2012 sur les époux U.________, a interpellé le notaire de ces derniers pour lui faire part de ses préoccupations. Les époux U.________, quant à eux, avaient institué l'intimée héritière de tous leurs biens en décembre 2011. Ils avaient appris de l'intimée que la famille de celle-ci rencontrait des difficultés financières importantes, l'époux de l'intimée ayant perdu son travail en mars 2010 et ayant créé fin 2010 sa propre société, ce qui ne lui permettait pas de contribuer à l'entretien de sa famille, l'intimée n'exerçant quant à elle pas d'activité lucrative. Il est ainsi évident pour la Cour, dans ce contexte, que les virements litigieux décidés, respectivement acceptés tacitement peu après l'instrumentation de ce testament, en faveur de l'intimée et de sa famille par les époux U.________ l'étaient dans l'esprit de ces derniers à titre gratuit, avec la volonté de donner. Cela n'aurait en effet fait aucun sens que d'un côté les époux U.________, déjà âgés, instituent l'intimée unique héritière de leurs biens en cas de prédécès de l'un d'entre eux ou de décès simultanés, puis quelques semaines voire mois plus tard n'effectuent des versements en sa faveur et en faveur de sa famille qu'à charge pour elle de les rembourser. La nature gratuite des versements a encore été attestée par deux témoins, soit par B.J.________ et C.J.________. Ceux-ci ont tous deux confirmé avoir eu connaissance de ces versements et ont attesté du fait que les époux U.________ n’en attendaient pas le remboursement. La véracité des déclarations est ici encore corroborée par le contexte général existant entre les époux U.________ d'une part et l'intimée et sa famille d'autre part. Au vu de ces éléments, l'autorité de céans retient que les virements litigieux effectués depuis les comptes des époux U.________ l'ont été, de la volonté des époux U.________, à titre gratuit. L'intimée a bien compris cette volonté des époux U.________ de lui donner ces sommes. Elle les a acceptées au moment où elle a passé l'ordre de virement y relatif. L'appelante invoque que l'intimée n'a pas produit les factures censées être acquittées avec les montants prélevés des comptes des époux U.________ ou le document récapitulatif qu'elle devait, selon l'appelante, préparer et montrer aux époux U.________ pour convenir d'un montant à payer. Cela démontrerait que les époux U.________ n'ont pas validé les virements litigieux. Une fois encore, il existait une confiance importante entre les époux U.________ et l'intimée, de sorte que la Cour s'estime convaincue que les époux U.________ avaient accepté d'aider l'intimée et sa famille pour leurs besoins courants et le développement de la société du mari de l'intimée, sans exiger préalablement la preuve documentée de tels besoins, sur la base seulement de demandes de la part de l'intimée. L'absence de la documentation alléguée est ainsi impropre à remettre en question l'appréciation qui précède. Le rapport de confiance existant entre les parties permet également de comprendre sans peine pourquoi les donations litigieuses n'ont pas été faites de manière plus formelle, l'absence de formalisation ne permettant pas de les nier. Le fait que l'aide accordée vise à couvrir des besoins concrets courants de la famille de l'intimée explique également sans difficulté que les montants virés aient été différents d'une fois à l'autre. L'appelante rappelle que l'intimée n'a pas retiré les courriers recommandés de son curateur. Une telle attitude, dont il n'a au demeurant pas été démontré qu'elle visait pour l'intimée à éluder les prétentions formulées par ledit curateur, ne saurait établir les faits que l'appelante invoque. Il en va de même des accusations, non étayées, que l'intimée aurait « à l'évidence profité de bien plus de montants que ceux qui font l'objet de la procédure ». En conséquence, l'autorité de céans considère que les virements effectués depuis les comptes des époux U.________ constituent des donations de leur part en faveur de l'intimée. Celles-ci ayant été acceptées par cette dernière, les contrats de donation relatifs à chaque somme sont venus à chef.</w:t>
      </w:r>
    </w:p>
    <w:p>
      <w:r>
        <w:rPr>
          <w:b/>
        </w:rPr>
        <w:t>E. 3.8</w:t>
      </w:r>
    </w:p>
    <w:p>
      <w:r>
        <w:t>L'appelante invoque que les donations effectuées, seraient-elles admises, souffriraient d'une invalidité formelle, les billets de banque n'ayant pas été donnés de la main à la main, respectivement les virements bancaires effectués par les époux U.________. Comme exposé ci-dessus, une donation manuelle peut intervenir par un virement d'un compte bancaire à un autre. En l'espèce, les virements litigieux, selon les faits ici constatés, l'ont été par l'intimée, représentant l'appelante et son mari, celui-ci ayant au surplus vérifié lesdites opérations ensuite et les ayant partant ratifiées. Les virements opérés sont ainsi imputables aux époux U.________, conformément à l'art. 32 al. 1 CO. Il s'ensuit que les donations manuelles ainsi opérées sont valables.</w:t>
      </w:r>
    </w:p>
    <w:p>
      <w:r>
        <w:rPr>
          <w:b/>
        </w:rPr>
        <w:t>E. 3.9</w:t>
      </w:r>
    </w:p>
    <w:p>
      <w:r>
        <w:t>Il résulte de ce qui précède que l'action en enrichissement illégitime ne peut qu'être rejetée, l'enrichissement de l'intimée reposant sur une cause valable. Il en va de même de l'action en responsabilité pour acte illicite, faute déjà d'acte illicite, notamment d'acte constitutif d'abus de confiance ou de gestion déloyale, tels qu'invoqués par l'appelante. Le rejet de la demande ne peut ainsi qu'être confirmé. 4. Il s'ensuit que l'appel doit être rejeté et le jugement entrepris confirmé. Les frais de deuxième instance, arrêtés à 1'861 fr. (art. 62 al. 1 TFJC [tarif des frais judiciaires civils du 28 septembre 2010 ; BLV 270.11.5] ), seront mis à la charge de l'appelante, qui succombe. Celle-ci versera à l'intimée la somme de 3'000 fr. (art. 7 TDC [tarif des dépens en matière civile du 23 novembre 2010 ; BLV 270.11.6] ) à titre de dépens de deuxième instance.</w:t>
      </w:r>
    </w:p>
    <w:p>
      <w:r>
        <w:rPr>
          <w:b/>
        </w:rPr>
        <w:t>E. 6</w:t>
      </w:r>
    </w:p>
    <w:p>
      <w:r>
        <w:t>CO). Le contrat de donation peut revêtir deux formes : la donation manuelle (art. 242 CO) ou la promesse de donner (art. 243 CO).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(art. 243 al. 1 et 2 CO). Seul le donateur doit signer l'acte écrit. On parle alors, selon le titre marginal de l'art. 243 CO, d'une « promesse de donner ». Le donateur peut également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 donation manuelle » selon l'expression figurant à l'art. 242 al. 1 CO. La « donation manuelle » peut revêtir, s'il s'agit d'une chose mobilière, toutes les formes de transfert de la propriété mobilière. Une « donation manuelle » peut ainsi intervenir par un virement d'un compte bancaire à un autre. Ce qui est décisif est que le bien sorte du patrimoine du donateur et entre dans celui du donataire (ATF 136 III 142 consid. 3.3 p. 144 ss et les références citées). Une promesse de donner qui ne revêt pas la forme écrite est sans effet juridique (ATF 117 II 382 consid. 2a p. 385). Un ordre bancaire (qui n'exprime pas l'intention de donner) ne peut pas constituer une promesse valable. Cependant, si une promesse nulle pour vice de forme est ensuite exécutée sous la forme d'un transfert du bien d'un patrimoine à l'autre, il faut, en vertu de la règle spéciale de l'art. 243 al. 3 CO, considérer qu'il s'agit d'une donation manuelle valable (ATF 136 III 142 consid. 3.3 p. 146 et les références citées). La gratuité est la caractéristique essentielle de la donation : l'attribution est faite dans le but immédiat d'enrichir le donataire, sans contrepartie, du moins sans contrepartie équivalente (Tercier/Bieri/Carron, Les contrats spéciaux, 5 e éd. 2016, n. 1497 ; ATF 144 III 93 consid. 5.1.2 p. 97).</w:t>
      </w:r>
    </w:p>
    <w:p>
      <w:r>
        <w:rPr>
          <w:b/>
        </w:rPr>
        <w:t>E. 8</w:t>
      </w:r>
    </w:p>
    <w:p>
      <w:r>
        <w:t>CC). Afin de protéger la confiance et la sécurité des transactions, le législateur part néanmoins du principe qu'une personne adulte est capable d'agir raisonnablement, sans qu'il soit nécessaire d'apporter d'autre preuve (cf. Walter, op. cit., n. 309 et 494 s. ad art. 8 CC). Celui qui invoque l'inefficacité d'un acte pour cause d'incapacité de discernement doit ainsi prouver l'un des états de faiblesse décrits à l'art. 16 CC et l'altération de la capacité d'agir raisonnablement qui en est la conséquence (preuve principale). Cette preuve n'est soumise à aucune prescription particulière (ATF 124 III 5 consid. 1 b ; 117 II 231 consid. 2b et les références ; TF 5A_951/2016 du 14 septembre 2017 consid. 3.1.2), mais son degré est abaissé à la vraisemblance prépondérante lorsqu'il s'agit d'apprécier la capacité d'une personne décédée, une preuve absolue de l'état mental de cette personne étant, par la nature même des choses, impossible à rapporter (ATF 124 Ill 5 consid. 1 b ; TF 4A_421/2016 du 13 décembre 2016 consid. 5.2 ; TF 5A_951/2016 précité ibid.).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(cf. TF 5A_951/2016 précité et les références ; TF 5A_325/2017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