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220 vom 11. März 2019</w:t>
      </w:r>
    </w:p>
    <w:p>
      <w:r>
        <w:t>VD Tribunal cantonal, 2019-03-11, FR</w:t>
      </w:r>
    </w:p>
    <w:p>
      <w:r>
        <w:rPr>
          <w:b/>
        </w:rPr>
        <w:t xml:space="preserve">Quelle: </w:t>
      </w:r>
      <w:r>
        <w:t>https://mcp.opencaselaw.ch/entscheid/vd_findinfo_HC___2019___220</w:t>
      </w:r>
    </w:p>
    <w:p>
      <w:r>
        <w:t>FR: VD_FINDINFO HC / 2019 / 220 du 11 mars 2019</w:t>
      </w:r>
    </w:p>
    <w:p>
      <w:r>
        <w:t>IT: VD_FINDINFO HC / 2019 / 220 del 11 marzo 2019</w:t>
      </w:r>
    </w:p>
    <w:p>
      <w:pPr>
        <w:pStyle w:val="Heading2"/>
      </w:pPr>
      <w:r>
        <w:t>Regeste</w:t>
      </w:r>
    </w:p>
    <w:p>
      <w:r>
        <w:t>MESURE PROVISIONNELLE, CAUSE DE DIVORCE, MODIFICATION DES CIRCONSTANCES | 179 CC, 276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dont la valeur, capitalisée conformément à l’art. 92 CPC, est supérieure à 10’000 fr., l’appel, écrit et motivé (art. 311 al. 1 CPC),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3.1</w:t>
      </w:r>
    </w:p>
    <w:p>
      <w:r>
        <w:t>; TF 5A_ 113/2013 du 2 août 2012 consid. 3.1 ; TF 5A_33/2015 du 28 avril 2015 consid. 4.1).</w:t>
      </w:r>
    </w:p>
    <w:p>
      <w:r>
        <w:rPr>
          <w:b/>
        </w:rPr>
        <w:t>E. 3.2</w:t>
      </w:r>
    </w:p>
    <w:p>
      <w:r>
        <w:t>; TF 5A_224/2016 du 13 juin 2016 consid. 3.3)</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consid.3.2 et réf.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w:t>
      </w:r>
    </w:p>
    <w:p>
      <w:r>
        <w:rPr>
          <w:b/>
        </w:rPr>
        <w:t>E. 3.2.2</w:t>
      </w:r>
    </w:p>
    <w:p>
      <w:r>
        <w:t>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TF 5A_64/2018 du 14 août 2018 consid. 3.1).</w:t>
      </w:r>
    </w:p>
    <w:p>
      <w:r>
        <w:rPr>
          <w:b/>
        </w:rPr>
        <w:t>E. 3.2.3</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w:t>
      </w:r>
    </w:p>
    <w:p>
      <w:r>
        <w:rPr>
          <w:b/>
        </w:rPr>
        <w:t>E. 3.2.4</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cf. Immele-de Weck, Modification d'une convention entre époux en mesures protectrices et provisionnelles : cherchez l'erreur,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Immele-de Weck, op. cit.).</w:t>
      </w:r>
    </w:p>
    <w:p>
      <w:r>
        <w:rPr>
          <w:b/>
        </w:rPr>
        <w:t>E. 3.2.5</w:t>
      </w:r>
    </w:p>
    <w:p>
      <w:r>
        <w:t>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 22 juin 2017 consid.</w:t>
      </w:r>
    </w:p>
    <w:p>
      <w:r>
        <w:rPr>
          <w:b/>
        </w:rPr>
        <w:t>E. 3.3</w:t>
      </w:r>
    </w:p>
    <w:p>
      <w:r>
        <w:t>L'appelant fait valoir que l'accession à la majorité de Z.________ constituerait un fait nouveau modifiant notablement et durablement la situation financière des parties. Le premier juge a considéré que, lors de la signature de la convention de mesures protectrices en 2015, l'enfant Z.________ avait 15 ans et qu'il était prévisible qu'il ferait des études. Il était également prévisible que l'enfant aurait 16 ans peu après, motif justifiant l'augmentation du taux de travail de l'intimée selon la jurisprudence, de sorte que l'accession à la majorité de l'enfant ne constituait pas un fait nouveau qui permettrait d'exiger un taux de travail plus élevé de l'intimée. L'appelant fait valoir que la jurisprudence n'exige pas que le changement de circonstances soit imprévisible et souligne que les mesures protectrices sont destinées à être évolutives. En soi, l'accession à la majorité de Z.________ ne représente pas une circonstance nouvelle justifiant un réexamen de la contribution d'entretien, lorsque, comme en l'espèce l'enfant est toujours aux études. En effet, les besoins de l'enfant ne sont pas moindres lorsqu'il accède à la majorité. Ce que plaide l'appelant, c'est qu'il conviendrait en réalité, en fonction de l'écoulement du temps, en particulier du fait que l'enfant est âgé de plus de 16 ans, de retenir un revenu hypothétique à la charge de l'intimée. Une telle circonstance pourrait, suivant les cas, justifier une modification de la contribution. Il faut cependant relever qu'au moment où la convention de mesures protectrices a été signée, l'enfant avait 15 ans et qu'il allait atteindre les 16 ans moins d'une année plus tard, moment où l'on pouvait en principe exiger de l'épouse qu'elle étende son taux d'activité. Même si les mesures protectrices de l'union conjugale sont évolutives, on doit présumer que la contribution d'entretien a été fixée en tenant compte de cette modification qui, bien que future, était déjà certaine. L'appelant ne s'y est pas trompé puisqu'il n'a pas requis de modification au moment où Z.________ a atteint ses 16 ans. Cela étant, on ne saurait opposer sur le long terme à l'époux l'acceptation d'une telle situation dans le cadre de mesures protectrices, lorsque les mesures protectrices ou provisionnelles se prolongent au-delà de ce qui pouvait être initialement pris en compte en raison de la durée de la procédure de divorce. En l'espèce, les mesures protectrices ont été rendues en mai 2015 et la procédure de divorce est loin d'être achevée, le notaire chargé de la liquidation du régime matrimonial n'ayant pas encore été mis en œuvre. Cependant, ce n'est que par sa requête de mesures provisionnelles du 9 octobre 2018 que l'appelant a manifesté qu'il considérait que l'intimée devait étendre son activité lucrative avant même la fin de la procédure de divorce, celle-ci ayant pu se fier jusque-là à l'accord passé. En tout état de cause, un délai d'adaptation devrait être fixé à l'intimée pour qu'elle étende son activité, étant observé qu'elle a déjà produit plusieurs recherches d'emploi qu'il conviendra d'intensifier. Un délai au 31 août 2019 sera imparti à cet effet à l'intimée, sous peine de risquer de se voir imputer un revenu hypothétique. En l'état, la requête de modification apparaît prématurée.</w:t>
      </w:r>
    </w:p>
    <w:p>
      <w:r>
        <w:rPr>
          <w:b/>
        </w:rPr>
        <w:t>E. 3.4</w:t>
      </w:r>
    </w:p>
    <w:p>
      <w:r>
        <w:t>L'appelant fait valoir que la charge fiscale des parties n'aurait pas été évaluée correctement à l'époque et que ses charges incompressibles, y compris la charge fiscale, ne peuvent en réalité pas être couvertes. Selon la jurisprudence précitée, il n'y a pas d'adaptation concernant des éléments qui ont été définis conventionnellement pour surmonter une situation incertaine ( caput controversum ), dans la mesure où il manque une valeur de référence permettant d'évaluer l'importance d'un éventuel changement. Dès lors que l'on ignore le montant pris en compte à l'époque dans la convention pour la charge d'impôts, il manque une valeur de référence permettant d'évaluer l'importance d'un éventuel changement. L'appelant n'invoque par ailleurs aucun vice de la volonté (erreur, dol ou crainte fondée) à ce sujet, une erreur sur le caput controversum étant de toute manière exclue. Quoi qu'il en soit, selon la jurisprudence,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La prétendue mauvaise évaluation de la charge fiscale n'est pas un motif justifiant une modification.</w:t>
      </w:r>
    </w:p>
    <w:p>
      <w:r>
        <w:rPr>
          <w:b/>
        </w:rPr>
        <w:t>E. 3.5</w:t>
      </w:r>
    </w:p>
    <w:p>
      <w:r>
        <w:t>Cela étant, aucune circonstance nouvelle n'étant en l'état réalisée, il n'y a pas lieu de procéder à une réévaluation des charges des parties et c'est à juste titre que le premier juge n'est pas entré en matière sur la requête.</w:t>
      </w:r>
    </w:p>
    <w:p>
      <w:r>
        <w:rPr>
          <w:b/>
        </w:rPr>
        <w:t>E. 4</w:t>
      </w:r>
    </w:p>
    <w:p>
      <w:r>
        <w:t>Compte tenu de ce qui précède, l’appel doit être rejeté selon le mode procédural de l’art. 312 al. 1 CPC et l’ordonnance entreprise confirmée. Les frais judiciaires de deuxième instance, arrêtés à 600 fr. (art. 63 et  65 al. 2 TFJC [tarif des frais judiciaires civils du 28 septembre 2010 ; BLV 270.11.5]), doivent être mis à la charge de l’appelant, qui succombe (art. 106 al. 1 CPC). Il n’y a pas matière à l’allocation de dépens, l’intimée n’ayant pas été invitée à déposer une réponse. Par ces motifs, le Juge délégué de la Cour d’appel civile prononce : I. L’appel est rejeté II. L’ordonnance est confirmée. III. Les frais judiciaires de deuxième instance, arrêtés à 600 fr. (six cents francs), sont mis à la charge de l’appelant A.R.________. IV. L’arrêt est exécutoire. Le juge délégué : Le greffier : Du Le présent arrêt, dont la rédaction a été approuvée à huis clos, est notifié en expédition complète à : ‑ Me Henriette Dénéréaz Luisier (pour A.R.________), ‑ Me Richard-Xavier Posse (pour B.R.________),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