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193 vom 11. März 2018</w:t>
      </w:r>
    </w:p>
    <w:p>
      <w:r>
        <w:t>VD Tribunal cantonal, 2018-03-11, FR</w:t>
      </w:r>
    </w:p>
    <w:p>
      <w:r>
        <w:rPr>
          <w:b/>
        </w:rPr>
        <w:t xml:space="preserve">Quelle: </w:t>
      </w:r>
      <w:r>
        <w:t>https://mcp.opencaselaw.ch/entscheid/vd_findinfo_HC___2019___193</w:t>
      </w:r>
    </w:p>
    <w:p>
      <w:r>
        <w:t>FR: VD_FINDINFO HC / 2019 / 193 du 11 mars 2018</w:t>
      </w:r>
    </w:p>
    <w:p>
      <w:r>
        <w:t>IT: VD_FINDINFO HC / 2019 / 193 del 11 marzo 2018</w:t>
      </w:r>
    </w:p>
    <w:p>
      <w:pPr>
        <w:pStyle w:val="Heading2"/>
      </w:pPr>
      <w:r>
        <w:t>Regeste</w:t>
      </w:r>
    </w:p>
    <w:p>
      <w:r>
        <w:t>DÉCISION D'IRRECEVABILITÉ, CHOSE JUGÉE, DÉLAI DE RECOURS, RESTITUTION DU DÉLAI | 148 al. 1 CPC, 311 al. 1 CPC (CH), 59 al. 2 let. e CPC (CH)</w:t>
      </w:r>
    </w:p>
    <w:p>
      <w:pPr>
        <w:pStyle w:val="Heading2"/>
      </w:pPr>
      <w:r>
        <w:t>Erwägungen</w:t>
      </w:r>
    </w:p>
    <w:p>
      <w:r>
        <w:rPr>
          <w:b/>
        </w:rPr>
        <w:t>E. 1</w:t>
      </w:r>
    </w:p>
    <w:p>
      <w:r>
        <w:t>er février 2013 consid. 4.2, SJ 2013 I 314). La nature de la décision visée à l’art. 59 al. 2 let. e CPC est un jugement qui statue sur le fondement de la prétention déduite en justice, intervenant dès le moment où le juge examine le fond, peu importe qu’il rejette la prétention faute d’allégués, de preuve ou pour tout autre motif (Bohnet, op. cit., nn. 104ss ad art. 59 CPC, spéc. 109). Lorsqu’un procès prend fin par un jugement d’irrecevabilité de la demande en justice, l’autorité de ce jugement est restreinte à la condition de recevabilité qui a été discutée et jugée défaillante ;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(TF 4D_88/2014 du 25 mars 2015 consid. 3 et les références citées). La doctrine considère également que la portée concrète de l’autorité de la chose jugée d’un jugement de procédure (Prozessurteil) est limitée à l’objet même de ce jugement, soit à la réalisation des conditions de recevabilité qui ont été affirmées ou niées (Bohnet, op. cit., n. 112 ad art. 59 CPC et les références citées).</w:t>
      </w:r>
    </w:p>
    <w:p>
      <w:r>
        <w:rPr>
          <w:b/>
        </w:rPr>
        <w:t>E. 1.1</w:t>
      </w:r>
    </w:p>
    <w:p>
      <w:r>
        <w:t>Le tribunal n’entre en matière que sur les demandes et les requêtes qui satisfont aux conditions de recevabilité de l’action (art. 59 al. 1 CPC), qui comprennent notamment le fait que le litige ne fasse pas l’objet d’une décision entrée en force (art. 59 al. 2 let. e CPC). L’irrecevabilité de la demande ou requête à une contestation ayant déjà donné lieu à une décision judiciaire repose sur l’absence d’intérêt juridique digne de protection à soumettre une nouvelle fois la question à la justice (Bohnet, Commentaire romand, Code de procédure civile, 2 e éd., 2019, n. 104 ad art. 59 CPC et les références citées). Il faut distinguer l’autorité de chose jugée matérielle, seule visée à l’art. 59 al. 2 let. e CPC, de l’autorité de chose jugée formelle (cf. TF 5A_866/2012 du</w:t>
      </w:r>
    </w:p>
    <w:p>
      <w:r>
        <w:rPr>
          <w:b/>
        </w:rPr>
        <w:t>E. 1.2</w:t>
      </w:r>
    </w:p>
    <w:p>
      <w:r>
        <w:t>En l’espèce, la Cour d’appel civile s’est déjà prononcée, par arrêt du 19 juin 2019, sur la recevabilité de l’appel interjeté le 16 mai 2018 par T.________, en particulier quant au respect du délai de 30 jours de l’art. 311 al. 1 CPC et à titre superfétatoire sur la question d’une éventuelle restitution de celui-ci au sens de l’art. 148 al. 1 CPC. Cet arrêt, immédiatement exécutoire, a été notifié aux parties le 22 juin 2018 et n’a fait l’objet d’aucun recours auprès du Tribunal fédéral, de sorte qu’il est devenu définitif le 23 août 2018, date à laquelle il a dès lors acquis l’autorité de chose jugée. Partant, l’acte déposé le 24 novembre 2018 par T.________, fondé sur les mêmes motifs s’agissant non seulement de la question du respect du délai d’appel, mais également de l’éventuelle restitution de celui-ci, est irrecevable, faute pour l’appelant de disposer d’un quelconque intérêt à agir à nouveau pour des motifs bénéficiant déjà de l’autorité de chose jugée. Quoi qu’il en soit, même en faisant abstraction de ce motif d’irrecevabilité, l’appel devrait tout de même être déclaré irrecevable en vertu de ce qui suit (cf. consid. 2.3 et 3.2).</w:t>
      </w:r>
    </w:p>
    <w:p>
      <w:r>
        <w:rPr>
          <w:b/>
        </w:rPr>
        <w:t>E. 2.1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w:t>
      </w:r>
    </w:p>
    <w:p>
      <w:r>
        <w:rPr>
          <w:b/>
        </w:rPr>
        <w:t>E. 2.2</w:t>
      </w:r>
    </w:p>
    <w:p>
      <w:r>
        <w:t>En l’espèce, l’acte du 24 novembre 2018 est intitulé « recours » et T.________ déclare notamment vouloir recourir contre le jugement du 9 janvier 2018. Or, dirigé contre un jugement dans une cause de nature patrimoniale dont la valeur litigieuse est supérieure à 10'000 fr., c’est la voie de l’appel qui est ouverte. Cela étant, T.________ n’étant pas assisté d’un mandataire professionnel en deuxième instance, son recours doit être converti en appel et traité par la Cour d’appel civile.</w:t>
      </w:r>
    </w:p>
    <w:p>
      <w:r>
        <w:rPr>
          <w:b/>
        </w:rPr>
        <w:t>E. 2.3</w:t>
      </w:r>
    </w:p>
    <w:p>
      <w:r>
        <w:t>La motivation du jugement entrepris a été notifiée à l’appelant le 12 avril 2018, si bien que le délai d’appel a commencé à courir le 13 avril 2018 pour échoir le 14 mai 2018. Le prononcé rectificatif du 17 avril 2018 a quant à lui été notifié le 18 avril 2018, de sorte que dans tous les cas, l’appel, déposé le 24 novembre 2018, est tardif et, par conséquent, irrecevable.</w:t>
      </w:r>
    </w:p>
    <w:p>
      <w:r>
        <w:rPr>
          <w:b/>
        </w:rPr>
        <w:t>E. 3.1</w:t>
      </w:r>
    </w:p>
    <w:p>
      <w:r>
        <w:t>Conformément à l’art. 148 al. 1 CPC, le tribunal peut accorder un délai supplémentaire lorsque la partie défaillante en fait la requête et rend vraisemblable que le défaut ne lui est pas imputable ou n'est imputable qu'à une faute légère. L'art. 148 CPC s'applique également aux délais légaux et en particulier aux délais de recours ou d'appel (JdT 2011 III 106). La restitution de délai suppose que la partie défaillante en ait fait la requête, la restitution ne pouvant pas intervenir d’office (CPF 30 novembre 2017/289). L’autorité d’appel est compétente pour restituer le délai d’appel (CACI 2 octobre 2015/522). Lorsque le refus de la restitution de délai sollicitée entraînerait pour le requérant la perte de la voie de l'appel, la décision y relative a un caractère final. Dans un tel cas, il se justifie que la Cour d'appel civile statue in corpore (cf. art. 42 al. 2 let. e CDPJ [Code de droit privé judiciaire vaudois, du 12 janvier 2010 ; BLV 211.02] ; CACI 22 décembre 2017/615 consid. 2.1). Pour que la maladie constitue un empêchement, il faut que l’intéressé ait non seulement été empêché d’agir lui-même dans le délai, mais encore de charger un tiers d’accomplir les actes de procédure nécessaires (ATF 119 lI 86 consid. 2a). Seule la maladie survenant à la fin du délai de recours ou d’appel et empêchant la partie de défendre elle-même ses intérêts ainsi que de recourir à temps aux services d’un tiers constitue un empêchement non fautif (ATF 112 V 255 consid. 2a ; ATF 119 II 86 consid. 2b). La requête doit être présentée dans les dix jours qui suivent celui où la cause du défaut a disparu (art. 148 al. 2 CPC). Le dies a quo pour le cours du délai de dix jours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w:t>
      </w:r>
    </w:p>
    <w:p>
      <w:r>
        <w:rPr>
          <w:b/>
        </w:rPr>
        <w:t>E. 3.2</w:t>
      </w:r>
    </w:p>
    <w:p>
      <w:r>
        <w:t>En l’espèce, l’appelant ne requiert pas expressément la restitution du délai d’appel. A supposer toutefois que l’on puisse interpréter son écriture en ce sens qu’elle contient une telle requête, la restitution du délai d’appel devrait être rejetée. En effet, l’appelant se prévaut de son état de santé pour justifier son « intervention tardive » selon ses propres termes. Toutefois, les pièces médicales qu’il produit à l’appui de ses allégations attestent uniquement d’une incapacité de travail à 100% dès le 14 mars 2018 mais n’établissent pas que l’appelant aurait été empêché d’agir lui-même dans le délai et encore moins qu’il aurait été empêché de charger un tiers de procéder en temps voulu. Il a d’ailleurs été en mesure de déposer un acte d’appel, certes irrecevable, dans le délai légal, alors même que, selon les certificats produits, il était en incapacité de travail. Ainsi, comme déjà constaté dans l’arrêt de la Cour de céans du 19 juin 2018/360 consid. 2.2, les conditions requises pour bénéficier d’une restitution du délai d’appel ne sont pas réalisées.</w:t>
      </w:r>
    </w:p>
    <w:p>
      <w:r>
        <w:rPr>
          <w:b/>
        </w:rPr>
        <w:t>E. 4</w:t>
      </w:r>
    </w:p>
    <w:p>
      <w:r>
        <w:t>Il résulte de ce qui précède que l’appel doit être déclaré irrecevable selon le mode procédural de l’art. 312 al. 1 in fine CPC. Les frais judiciaires de deuxième instance, arrêtés à 1'436 fr. (art. 62 al. 1 TFJC [tarif des frais judiciaires civils du 28 septembre 2010 ; BLV 270.11.5]) doivent être mis à la charge de l’appelant, qui succombe (art. 106 al. 1 CPC). Il n’y a pas lieu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