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175 vom 3. April 2019</w:t>
      </w:r>
    </w:p>
    <w:p>
      <w:r>
        <w:t>VD Tribunal cantonal, 2019-04-03, FR</w:t>
      </w:r>
    </w:p>
    <w:p>
      <w:r>
        <w:rPr>
          <w:b/>
        </w:rPr>
        <w:t xml:space="preserve">Quelle: </w:t>
      </w:r>
      <w:r>
        <w:t>https://mcp.opencaselaw.ch/entscheid/vd_findinfo_HC___2019___175</w:t>
      </w:r>
    </w:p>
    <w:p>
      <w:r>
        <w:t>FR: VD_FINDINFO HC / 2019 / 175 du 3 avril 2019</w:t>
      </w:r>
    </w:p>
    <w:p>
      <w:r>
        <w:t>IT: VD_FINDINFO HC / 2019 / 175 del 3 aprile 2019</w:t>
      </w:r>
    </w:p>
    <w:p>
      <w:pPr>
        <w:pStyle w:val="Heading2"/>
      </w:pPr>
      <w:r>
        <w:t>Regeste</w:t>
      </w:r>
    </w:p>
    <w:p>
      <w:r>
        <w:t>MODIFICATION{EN GÉNÉRAL}, MESURE PROVISIONNELLE, OBLIGATION D'ENTRETIEN, IMPORTANCE NOTABLE, PROCÉDÉ TÉMÉRAIRE | 179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Si la décision a été rendue en procédure sommaire, l’appel joint est irrecevable (art. 314 al. 2 CPC).</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de ce point de vue. La réponse de l’intimée, déposée en temps utile, est recevable. En revanche, l’appel joint contenu dans cette écriture est irrecevable dès lors que l’ordonnance entreprise a été rendue en procédure sommaire.</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3.1</w:t>
      </w:r>
    </w:p>
    <w:p>
      <w:r>
        <w:t>L’appelant a produit des pièces à l’appui de son appel. Quant à l’intimée, elle a également produit des pièces dans le cadre de sa réponse et a fait valoir un nova en produisant trois pièces. Il convient dès lors d’examiner la recevabilité de ces éléments.</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5A_756/2017 du 6 novembre 2017 et les références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3.3</w:t>
      </w:r>
    </w:p>
    <w:p>
      <w:r>
        <w:t>En l’espèce, la pension dont la modification est requise a été fixée globalement pour l’entretien de l’intimée, de la fille majeure de celle-ci et de la fille mineure des parties. Partant, dans la mesure où est en jeu une question relative à un enfant mineur, la maxime inquisitoire illimitée s’applique au présent litige. Dans ces conditions, les pièces produites à l’appui de sa réponse, le nova invoqué par l’intimée et les pièces produites en lien avec celui-ci sont recevables et l’état de fait a été complété pour en tenir compte dans la mesure utile à la résolution du litige, étant relevé que la pièce 101, soit un extrait du Registre du commerce concernant M.________ SA, était de toute manière recevable à titre de fait notoire (ATF 138 II 557 consid. 6.2). Il en va de même des pièces produites par l’appelant, étant précisé que les pièces 0, 1 et 3 à 5 constituent des pièces de forme, respectivement figurent déjà au dossier de première instance, lequel comporte le dossier au fond de la procédure de divorce. On relèvera toutefois qu’il ne sera pas tenu compte de la pièce 2, soit un tableau établi par l’appelant censé résumer les revenus, fortunes et charges des parties et de leur fille O.________, dès lors que ce titre, au demeurant établi par une partie, ne présente aucun intérêt pour la résolution du litige.</w:t>
      </w:r>
    </w:p>
    <w:p>
      <w:r>
        <w:rPr>
          <w:b/>
        </w:rPr>
        <w:t>E. 4.1</w:t>
      </w:r>
    </w:p>
    <w:p>
      <w:r>
        <w:t>Chaque partie sollicite des mesures d’instruction : l’appelant requiert, comme en première instance, production par l’intimée de ses déclarations fiscales 2015 à 2017 ; quant à l’intimée, elle requiert production, en mains de M.________ SA, du procès-verbal de l’assemblée générale de cette société ayant décidé la réduction du capital-actions pour l’année 2018, de tout document permettant de déterminer la répartition du résultat de la réduction du capital entre ses actionnaires, du détail du compte courant actionnaire de l’appelant pour l’année 2018 et du récapitulatif des paiements effectués par celle-ci à l’appelant en 2018.</w:t>
      </w:r>
    </w:p>
    <w:p>
      <w:r>
        <w:rPr>
          <w:b/>
        </w:rPr>
        <w:t>E. 4.1.2</w:t>
      </w:r>
    </w:p>
    <w:p>
      <w:r>
        <w:t>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 nouvelles (TF 5A_329/2016 du 6 décembre 2016 consid. 3.1 ; TF 5A_151/2016 du 27 avril 2016 consid. 3.1 ; TF 5A_33/2015 du 28 avril 2015 consid. 4.1).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5A_911/2016 du 28 avril 2017 consid. 3.3.1 ; TF 5A_33/2015 du 28 avril 2015 consid. 4.1 ; TF 5A_15/2014 du 28 juillet 2014 consid. 3 ; TF 5A_845/2010 du 12 avril 2011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5A_218/2012 du 29 juin 2012 consid. 3.3.2, publié in FamPra.ch 2012 p. 1099).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 113/2013 du 2 août 2012 consid. 3.1). Lorsque la procédure est régie par les maximes inquisitoire et d’office, l’autorité d’appel prend en compte les circonstances nouvelles intervenues depuis le prononcé de première instance (TF 5A_528/2015 du 21 janvier 2016 consid. 2).</w:t>
      </w:r>
    </w:p>
    <w:p>
      <w:r>
        <w:rPr>
          <w:b/>
        </w:rPr>
        <w:t>E. 4.2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 TF 5A_583/2016 du 4 avril 2017 consid. 3.1.2.2 ; TF 4A_362/2015 du 1 er décembre 2015 consid. 2.2). Elle peut aussi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 ; TF 5A_851/2015 du 23 mars 2016 consid. 3.1).</w:t>
      </w:r>
    </w:p>
    <w:p>
      <w:r>
        <w:rPr>
          <w:b/>
        </w:rPr>
        <w:t>E. 4.3</w:t>
      </w:r>
    </w:p>
    <w:p>
      <w:r>
        <w:t>En l’espèce, aucune des parties ne motive les raisons pour lesquelles la production des titres requis devrait être ordonnée, lesquels n’apparaissent de toute manière pas décisifs pour l’issue du litige, compte tenu des considérants exposés ci-après. A cela s’ajoute que lors de l’audience de mesures provisionnelles du 21 mars 2018, l’appelant ne s’est pas opposé à la clôture de l’instruction alors qu’il n’avait pas été donné suite à la réquisition de production de pièces qu’il renouvelle en appel. Partant, il se justifie de rejeter les réquisitions des parties à cet égard.</w:t>
      </w:r>
    </w:p>
    <w:p>
      <w:r>
        <w:rPr>
          <w:b/>
        </w:rPr>
        <w:t>E. 5.1</w:t>
      </w:r>
    </w:p>
    <w:p>
      <w:r>
        <w:t>Dans la partie « Faits » de son mémoire, l’appelant déclare contester « intégralement les faits de l’ordonnance attaquée en tant qu’ils contredisent ses propres allégués », puis expose quelques allégués de fait. Cette partie du mémoire d’appel ne contient aucune critique des faits retenus par le premier juge, ce qui ne respecte pas le devoir de motivation (art. 311 al. 1 CPC). On rappellera en effet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dès lors qu’il n’appartient pas à la Cour de céans de comparer l’état de fait présenté en appel avec celui du jugement pour y déceler les éventuelles modifications apportées et en déduire les critiques de l’appelant (CACI 29 juin 2017/273 consid. 3.2). Pour le surplus, l’état de fait du présent arrêt prend en compte les éléments ressortant des pièces 3 et 4 produites en appel dont l’appelant se prévaut.</w:t>
      </w:r>
    </w:p>
    <w:p>
      <w:r>
        <w:rPr>
          <w:b/>
        </w:rPr>
        <w:t>E. 5.2</w:t>
      </w:r>
    </w:p>
    <w:p>
      <w:r>
        <w:t>L’appelant requiert ensuite des corrections de l’état de fait. Il soutient que l’arrêt sur appel du « 24 avril 2014 » ( recte : 14 février 2014) serait aujourd’hui obsolète, ne serait pas applicable et ne serait « plus pertinent en 2018 pour le divorce à prononcer ». Ce faisant, l’intéressé s’en prend en réalité à l’appréciation des faits. On relèvera toutefois que dans la mesure où l’appelant demande la modification de la contribution d’entretien fixée par ledit arrêt, la prise en compte des éléments ressortant de celui-ci est nécessaire à la résolution du litige puisqu’il s’agit de déterminer si, depuis le prononcé de cet arrêt, les circonstances de fait ont changé d’une manière essentielle et durable (cf. infra consid. 8.2.1), ce qui implique nécessairement de comparer les circonstances prévalant lors de l’arrêt sur appel du 14 février 2014 avec celles invoquées à l’appui de la demande de modification. La référence à l’arrêt sur appel du 15 juin 2016 n’est pas davantage critiquable dès lors que l’appelant reprend en grande partie les arguments déjà avancés à cette époque.</w:t>
      </w:r>
    </w:p>
    <w:p>
      <w:r>
        <w:rPr>
          <w:b/>
        </w:rPr>
        <w:t>E. 6.1</w:t>
      </w:r>
    </w:p>
    <w:p>
      <w:r>
        <w:t>L’appelant invoque une violation des règles de compétence. Il soutient en substance que dans la mesure où la litispendance du divorce a été créée le 19 octobre 2015 et où cette cause est instruite par la Présidente [...], il ne serait « ni légal ni acceptable car arbitraire et inexact pour le surplus » que la Vice-présidente [...], qui s’était occupée des mesures protectrices de l’union conjugale depuis 2013, statue sur les mesures provisionnelles litigieuses.</w:t>
      </w:r>
    </w:p>
    <w:p>
      <w:r>
        <w:rPr>
          <w:b/>
        </w:rPr>
        <w:t>E. 6.2</w:t>
      </w:r>
    </w:p>
    <w:p>
      <w:r>
        <w:t>Aux termes de l’art. 3 CPC, sauf disposition contraire de la loi, l’organisation des tribunaux et des autorités de conciliation relève des cantons. Le divorce sur requête commune avec un accord partiel ainsi que sur requête unilatérale est de la compétence du tribunal d’arrondissement (art. 7 ch. 5 CDPJ [Code de droit privé judiciaire vaudois du 12 janvier 2010 ; BLV 211.02]). Lorsque la loi désigne une autorité collégiale pour statuer sur le fond, le président ou, pour les cours du Tribunal cantonal et la Chambre patrimoniale cantonale, le juge désigné par la cour, est compétent pour statuer dans les affaires auxquelles s’applique la procédure sommaire conformément aux art. 248 ss CPC (art. 43 al. 1 let. e CDPJ). Selon l’art. 248 let. d CPC, la procédure sommaire s’applique aux mesures provisionnelles. Le vice-président remplace le président dans l’instruction et le jugement des causes (art. 93 al. 2 LOJV [Loi d’organisation judiciaire du 12 décembre 1979 ; BLV 173.01]).</w:t>
      </w:r>
    </w:p>
    <w:p>
      <w:r>
        <w:rPr>
          <w:b/>
        </w:rPr>
        <w:t>E. 6.3</w:t>
      </w:r>
    </w:p>
    <w:p>
      <w:r>
        <w:t>En l’espèce, tant la Présidente [...] que la Vice-présidente [...], œuvrant toutes deux au Tribunal d’arrondissement de La Côte, disposent de la compétence matérielle pour statuer sur les mesures provisionnelles requises dans le cadre d’une procédure de divorce, conformément aux art. 43 al. 1 let. e CDPJ et 93 al. 2 LOJV, de sorte qu’aucune violation des règles de compétence ne peut être reprochée à l’autorité précédente. Le fait que la première nommée, en charge de l’instruction de la cause en divorce, n’ait pas statué sur les mesures provisionnelles litigieuses relève de l’organisation interne du tribunal concerné et n’est pas critiquable. On rappellera qu’il arrive régulièrement que des remplacements ponctuels ou des changements de magistrats interviennent en cours de procédure et cette pratique est admissible si les règles de compétence sont respectées. En outre, la critique de l’appelant quant à l’identité du magistrat ayant statué apparaît contraire au principe de la bonne foi, dès lors que l’intéressé n’a pas réagi aussitôt qu’il a eu connaissance du fait que la Vice-présidente [...] était en charge de la cause provisionnelle, étant rappelé que la prénommée a présidé tant l’audience du 30 mars 2017 que la reprise du 21 mars 2018. Or, l’appelant n’a à aucun moment invoqué sa prétendue incompétence matérielle, ni demandé le cas échéant sa récusation. L’appelant a au contraire attendu le dénouement, défavorable, de la première instance pour faire valoir ce moyen, ce qui n’est pas admissible. Le grief, infondé, doit être rejeté.</w:t>
      </w:r>
    </w:p>
    <w:p>
      <w:r>
        <w:rPr>
          <w:b/>
        </w:rPr>
        <w:t>E. 7</w:t>
      </w:r>
    </w:p>
    <w:p>
      <w:r>
        <w:t>Invoquant une violation de son droit d’être entendu, l’appelant soutient que l’ordonnance entreprise ne serait pas motivée et serait un « mauvais copié-collé de décisions antérieures ». L’intéressé ne motive pas davantage ce grief qui s’avère dès lors irrecevable. A supposer recevable, le grief devrait de toute manière être rejeté dans la mesure où le premier juge a soigneusement examiné chacune des circonstances invoquées par l’appelant à l’appui de sa requête de modification de la contribution d’entretien (cf. infra consid. 8.3). En outre, il ne saurait être reproché au magistrat de s’être référé aux précédentes décisions judiciaires puisqu’il devait déterminer si, depuis le prononcé de celles-ci, les circonstances de fait avaient changé d’une manière essentielle et durable (cf. infra consid. 8.2.1) et que l’appelant a répété dans le cadre de la présente procédure la plupart des arguments qu’il avait invoqués lors des procédures précédentes.</w:t>
      </w:r>
    </w:p>
    <w:p>
      <w:r>
        <w:rPr>
          <w:b/>
        </w:rPr>
        <w:t>E. 8.1</w:t>
      </w:r>
    </w:p>
    <w:p>
      <w:r>
        <w:t>Dans différents moyens confus et désordonnés, l’appelant reproche en substance au premier juge d’avoir considéré qu’il n’avait pas rendu vraisemblable une modification importante et durable des circonstances prévalant à l’époque où la contribution d’entretien litigieuse avait été fixée.</w:t>
      </w:r>
    </w:p>
    <w:p>
      <w:r>
        <w:rPr>
          <w:b/>
        </w:rPr>
        <w:t>E. 8.2.1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consid.3.2 et les références citées ; TF 5A_720/2011 du 8 mars 2012 consid.</w:t>
      </w:r>
    </w:p>
    <w:p>
      <w:r>
        <w:rPr>
          <w:b/>
        </w:rPr>
        <w:t>E. 8.2.2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4A_593/2015 du 13 décembre 2016 consid. 5.1 ; TF 4A_290/2014 du 1 er septembre 2014 consid. 3.1, publié in RSPC 215 p. 52).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4A_376/2016 du 2 décembre 2016 consid. 3.2 ; TF 4A_97/2014 du 26 juin 2014 consid. 3.3 ; TF 5A_438/2012 du 27 août 2012 consid. 2.2). Il s'agit là de conditions de recevabilité de l'appel, la cour d'appel ne devant pas entrer en matière si le recours n'indique pas quel point est critiqué et ne motive pas en quoi la motivation du tribunal de première instance serait fausse (TF 4A_218/2017 du 14 juillet 2017 consid. 3.1.2).</w:t>
      </w:r>
    </w:p>
    <w:p>
      <w:r>
        <w:rPr>
          <w:b/>
        </w:rPr>
        <w:t>E. 8.3.1</w:t>
      </w:r>
    </w:p>
    <w:p>
      <w:r>
        <w:t>Dans ses écritures de première instance, l’appelant avait invoqué en substance qu’il n’aurait plus de revenu depuis fin mai 2016, que le logement conjugal occupé par l’intimée aurait des coûts disproportionnés par rapport aux besoins de celle-ci et de leur fille, que les importantes contributions d’entretien encaissées par l’intimée auraient dû permettre à celle-ci de se constituer une fortune suffisante pour couvrir ses besoins, que l’intimée devrait être en mesure de reprendre une activité lucrative à plein temps et que P.________, majeure, aurait terminé ses études et serait entretenue par son père biologique.</w:t>
      </w:r>
    </w:p>
    <w:p>
      <w:r>
        <w:rPr>
          <w:b/>
        </w:rPr>
        <w:t>E. 8.3.2</w:t>
      </w:r>
    </w:p>
    <w:p>
      <w:r>
        <w:t>En ce qui concerne les revenus de l’appelant, l’autorité précédente a considéré que la famille de l’intéressé était toujours en mesure de procéder à d’importantes donations en faveur de celui-ci lorsqu’il se trouvait dans le besoin, dès lors que pour obtenir la cessation des poursuites pénales dirigées contre lui, l’appelant s’était engagé en septembre 2017 à verser à l’intimée des montants de 800'000 fr. pour les arriérés de pensions et de 45'000 fr. pour les frais de justice de son épouse, et que ces montants avaient effectivement été versés. Elle a également relevé que le courrier du 20 mars 2018 de T.________ SA était contredit par la réalité des virements d’une somme de 845'000 fr. selon l’engagement précité et que l’appelant n’avait produit aucun élément de preuve au sujet du fait que sa mère n’aurait plus la volonté ni la capacité de lui faire d’importantes donations en espèces. L’intéressé n’avait ainsi pas rendu vraisemblable la cessation de versements de montants conséquents par sa famille. Le premier juge a en outre indiqué qu’il était inadmissible que l’appelant ait quitté son travail auprès de [...] SA, qui générait un important revenu, pour entamer une formation sur plusieurs années, en soulignant qu’une telle attitude ne saurait justifier une modification de la contribution d’entretien en cours. Dans son mémoire, l’appelant rappelle qu’il n’aurait plus de revenu depuis fin mai 2016. Il soutient que le premier juge ne pouvait pas retenir qu’il bénéficiait toujours d’importantes donations de la part de sa famille, dès lors que pour obtenir la cessation des poursuites pénales dirigées contre lui, il se serait lourdement endetté à concurrence de 1'200'000 fr. auprès de M.________ SA et que sa mère ne lui aurait plus fait aucune donation depuis 2012, mis à part 49'999 fr. chaque année de 2014 à 2016, montants non encaissés « pour raisons fiscales par anticipation de succession ». En l’occurrence, il ressort du contrat de prêt du 2 janvier 2018 que M.________ SA a prêté à l’appelant une somme de 1'200'000 fr., déjà versée lors de la signature dudit contrat, dont un montant de 800'000 fr. a été crédité sur le compte de l’ancien conseil de l’intimée. Il apparaît ainsi vraisemblable que ce montant de 800'000 fr. concernait les arriérés de pensions selon l’accord conclu par les parties en septembre 2017 pour le retrait des poursuites pénales. Cela étant, contrairement à ce que soutient l’appelant, ce titre ne saurait infirmer, sous l’angle de la vraisemblance, le raisonnement du premier juge. On relèvera en premier lieu que la force probante de cette pièce est sujette à caution car ce contrat a été conclu postérieurement au versement du montant prêté, car lors de la conclusion du contrat, l’appelant figurait toujours au Registre du commerce comme administrateur de M.________ SA et car l’intéressé n’a de façon assez incompréhensible pas produit ce titre, pourtant daté du 2 janvier 2018, devant le premier juge, alors qu’il aurait pu le faire puisqu’il a encore produit des pièces lors de l’audience du 21 mars 2018, ni n’a fait état de l’existence de ce prêt, alors que l’intimée avait allégué la circonstance des versements des montants de 800'000 fr. par M.________ SA et de 45'000 fr. dans le cadre de l’accord pénal pour en déduire que l’appelant continuait à être soutenu financièrement par sa famille (all. 177, 178, 182 et 183 des déterminations complémentaires sur mesures provisionnelles du 14 mars 2018). En outre, ce contrat de prêt ne rend pas vraisemblable que le montant transactionnel de 45'000 fr. convenu lors de l’audience pénale du 27 septembre 2017 a été versé au moyen du prêt concédé par M.________ SA dans la mesure où ledit contrat, pourtant conclu a posteriori , n’en fait pas mention. Il apparaît bien plutôt vraisemblable que le montant de 45'000 fr. provient d’une donation de la famille de l’appelant, conformément au chiffre I de la transaction conclue devant l’autorité pénale et aux déclarations faites par l’appelant à cette occasion. A cet égard, on rappellera que l’appelant a déclaré devant le Tribunal de police le 27 septembre 2017 que « [s]a famille [lui avait] fait un avancement d’héritage afin que [l’intimée] puisse continuer à vivre comme elle le faisait du temps de [leur] vie commune », qu’en avril 2017, « une proposition conséquente soumise aux réserves d’usage et qui couvrait les arriérés avait été faite par [s]a famille » au conseil d’alors de l’intimée et que s’agissant du versement du montant de 45'000 fr. en échange du retrait de la plainte, il l’acceptait et « demanderai[t] à [s]a famille de faire un versement en ce sens », ce qui contredit sa position défendue en appel. Quant au courrier du 20 août 2018 de T.________ SA selon lequel l’appelant n’aurait reçu aucune donation de sa mère en 2012 et 2013, puis une donation de 49'999 fr. chaque année de 2014 à 2017, il n’est d’aucun secours à l’intéressé dès lors que ces informations, fournies par un mandataire de l’intéressé, se fondent sur ses déclarations d’impôts et apparaissent être contredites par les déclarations de l’appelant devant le juge pénal et le versement effectué par sa famille dans le cadre de l’accord pénal. Compte tenu de l’ensemble de ces éléments, il ne saurait être reproché au premier juge d’avoir retenu que l’appelant n’avait pas rendu vraisemblable la cessation de versements de montants conséquents par sa famille. En outre, contrairement à ce que prétend l’appelant, ce dernier n’apparaît pas s’être endetté auprès de M.________ SA pour payer les arriérés de pension, mais apparaît bien plutôt s’être servi de sa fortune personnelle pour éponger sa dette puisque le montant du prêt a en définitive été intégralement remboursé par le biais d’une cession par l’appelant à cette société de 470 actions nominatives liées de celle-ci, d’une valeur nominale de 494 fr. 50, étant rappelé que la rubrique « préambule » du contrat de prêt indiquait que l’appelant détenait 17'646 actions nominatives liées de M.________ SA, d’une valeur de 534 fr. 50 chacune. On constate par ailleurs que l’appelant dispose encore que 17'176 actions de cette société. Pour le surplus, l’appelant se contente d’alléguer à plusieurs reprises dans son mémoire ne plus disposer de revenu depuis fin mai 2016, sans remettre en cause les considérations du premier juge à cet égard, qui a en particulier relevé que le comportement – inadmissible – de l’appelant consistant à avoir quitté son emploi générant un revenu important pour entamer une formation sur plusieurs années, alors qu’il savait devoir contribuer à l’entretien de l’intimée, de la fille de celle-ci et de la fille des parties, ne saurait justifier une modification de la contribution d’entretien en cours. Enfin, la critique de l’appelant selon laquelle la référence à sa famille serait une « violation absolue du principe de capacité contributive qui met artificiellement à la charge de tiers l’obligation d’entretien » n’est pas pertinente, étant rappelé qu’il est constant que l’intéressé bénéficiait de donations de sa famille lorsque la pension dont la modification est requise a été fixée.</w:t>
      </w:r>
    </w:p>
    <w:p>
      <w:r>
        <w:rPr>
          <w:b/>
        </w:rPr>
        <w:t>E. 8.3.3</w:t>
      </w:r>
    </w:p>
    <w:p>
      <w:r>
        <w:t>S’agissant du logement conjugal, le magistrat a retenu que cette problématique avait déjà été examinée dans l’arrêt sur appel du 15 juin 2016 – dans lequel il a été retenu que ce logement avait été attribué provisoirement à l’intimée afin de maintenir le train de vie qui était le sien durant le mariage, qu’il avait été tenu compte de cet élément lors de la fixation de la contribution d’entretien litigieuse et qu’aucune modification substantielle n’était intervenue dans les revenus globalement à disposition de l’appelant, de sorte que ce dernier et l’intimée devaient pouvoir maintenir le train de vie adopté durant le mariage, l’attribution du logement familial à l’intimée participant au maintien de ce train de vie – et que l’appelant n’avait démontré aucune modification importante et durable des circonstances à cet égard, se contentant de reprendre les griefs déjà énoncés dans sa requête de décembre 2015. Contre ce raisonnement, l’appelant se borne à répéter qu’il serait excessif que l’intimée et sa fille soient autorisées à demeurer dans le logement familial, sans critiquer spécifiquement l’argumentation développée par le premier juge ni prendre appui sur celle-ci. Ce faisant, l’appelant tente de substituer sa propre appréciation à celle de l’autorité précédente sans indiquer en quoi le raisonnement de celle-ci serait contraire au droit. Le moyen est donc irrecevable au regard des conditions relatives à la motivation de l’appel. Par surabondance, la circonstance de l’attribution du logement conjugal à l’intimée a été prise en compte lors de la fixation de la pension litigieuse et ne constitue ainsi pas un fait nouveau au sens de l’art. 179 CC.</w:t>
      </w:r>
    </w:p>
    <w:p>
      <w:r>
        <w:rPr>
          <w:b/>
        </w:rPr>
        <w:t>E. 8.3.4</w:t>
      </w:r>
    </w:p>
    <w:p>
      <w:r>
        <w:t>Quant à la prétendue fortune accumulée par l’intimée en raison des contributions d’entretien perçues, le premier juge a rappelé que la fixation de la contribution d’entretien litigieuse dans l’arrêt sur appel du 14 février 2014 tenait compte de toutes les dépenses effectives de l’intimée pour maintenir le train de vie de celle-ci et des enfants au même niveau que pendant la durée du mariage, sans prévoir aucun montant pour faire des économies. Dans son mémoire, l’appelant se contente d’alléguer que l’intimée se serait constituée des économies pour plus d’un million de francs grâce « aux encaissements dans la présente procédure », en se référant aux déclarations d’impôt 2016 et 2017 de l’intéressée dont il requiert à nouveau la production en appel. Devant le premier juge, l’appelant avait déjà allégué que l’intimée avait encaissé « environ CHF 1'400'000.- à ce jour » (all. 277). A nouveau, l’appelant ne discute pas l’argumentation développée par l’autorité précédente, en particulier quant au fait que la contribution d’entretien dont la modification est requise ne prévoit aucun montant pour faire des économies, et se contente de reprendre des éléments déjà développés en première instance, ne respectant ainsi pas son devoir de motivation. Le grief est dès lors irrecevable.</w:t>
      </w:r>
    </w:p>
    <w:p>
      <w:r>
        <w:rPr>
          <w:b/>
        </w:rPr>
        <w:t>E. 8.3.5</w:t>
      </w:r>
    </w:p>
    <w:p>
      <w:r>
        <w:t>Concernant une éventuelle reprise d’une activité lucrative par l’intimée, l’autorité précédente a retenu que les considérations figurant dans l’arrêt sur appel du 14 février 2014, non contestées à cet égard devant le Tribunal fédéral et reprises dans l’arrêt sur appel du 15 juin 2016 – selon lesquelles, en substance, il ne pouvait pas être exigé de l’intimée de reprendre une activité lucrative dès lors que, dès le mariage des parties, elle avait cessé de travailler pour se consacrer à l’entretien de la maison et l’éducation des enfants, qu’elle n’avait ainsi plus exercé d’activité lucrative depuis 2001, qu’elle était âgée de plus de 50 ans et que son ancien domaine d’activé avait subi au cours des dernière années une évolution qui dépassait les compétences de l’intéressée –, n’avaient pas été infirmées par un quelconque élément nouveau. L’appelant fait valoir que l’âge déterminant pour évaluer la reprise d’une activité lucrative serait celui de la séparation et que la séparation judiciaire serait intervenue en 2012, soit lorsque l’intimée avait 49 ans et non 53 ans comme l’aurait retenu l’autorité précédente. Il soutient également que l’on pourrait attendre de l’intéressée qu’elle reprenne une activité à temps complet vu l’âge d’O.________. En se référant à l’âge de l’intimée lors de la séparation, l’appelant tente de revenir sur des éléments déjà jugés le 14 février 2014. Ce faisant, il perd de vue que la question n’est pas ici de savoir si l’on pouvait exiger de l’intimée qu’elle reprenne une activité lucrative après la séparation, mais si on peut actuellement exiger d’elle qu’elle reprenne une activité lucrative, ce qui pourrait constituer une circonstance nouvelle pouvant entrainer une modification de la pension arrêtée dans l’arrêt précité. Le seul élément nouveau plaidé par l’appelant à cet égard est l’âge d’O.________, actuellement âgée de 16 ans. Toutefois, cette seule circonstance ne permet pas d’infirmer les éléments développés dans les arrêts sur appel des 14 février 2014 et 15 juin 2016, que l’appelant ne discute d’ailleurs même pas, en particulier le fait que l’intimée a cessé de travailler depuis le mariage des parties en 2001 et que son ancien domaine d’activité, intrinsèquement lié à la technologie informatique et numérique, a subi au cours des dernières années une évolution qui dépasse les compétences de l’intéressée. On constate qu’une fois encore l’appelant ne prend pas appui sur le raisonnement du premier juge pour tenter de démontrer qu’il serait erroné, mais tente de substituer sa propre appréciation à celle de l’autorité précédente. Le grief doit donc être rejeté en tant qu’il est recevable.</w:t>
      </w:r>
    </w:p>
    <w:p>
      <w:r>
        <w:rPr>
          <w:b/>
        </w:rPr>
        <w:t>E. 8.3.6</w:t>
      </w:r>
    </w:p>
    <w:p>
      <w:r>
        <w:t>S’agissant enfin de l’entretien de P.________, le premier juge a considéré que l’appelant n’avait pas rendu vraisemblable que la prénommée serait parvenue au terme de sa formation, que ses études ne seraient pas sérieuses ou que son père biologique aurait décidé de pourvoir à son entretien en remplacement de l’appelant, ce qui relèverait ce dernier de l’engagement pris à cet égard durant le mariage. A cet égard, l’appelant soutient qu’il n’aurait aucun contact avec P.________ depuis fin 2012, qu’il ne saurait même pas quelles études elle aurait choisi de suivre, ni si elle en suivrait encore ou les aurait menées à terme, et qu’il ignorerait quelle serait « l’étendue de ses emplois ces dernières années ». Il fait valoir qu’à plus de 22 ans, la prénommée n’aurait plus droit à un entretien et pourrait travailler à plein temps. Il considère ainsi que la prise en compte de son entretien serait arbitraire. L’appelant ne fait valoir aucun élément nouveau concernant l’entretien de P.________ et ne s’en prend pas à la motivation du premier juge. La circonstance de la majorité de la prénommée et de ses études a déjà été prise en compte dans les décisions précédentes et ne constitue pas un fait nouveau. L’appelant soutient également que l’autorité précédente ne pouvait pas lui reprocher de ne pas avoir rendu vraisemblable que P.________ serait parvenue au terme de sa formation ou que son père biologique pourvoirait à son entretien, considérant qu’il s’agirait « d’éléments dans la sphère d’influence de tiers, impossibles à connaître ». Ce faisant, l’intéressé perd de vue que la preuve de la modification des circonstances incombe à celui qui l’invoque (art. 8 CC). Il lui appartenait ainsi d’établir les circonstances invoquées pour obtenir une modification de la contribution d’entretien litigieuse, au besoin en requérant des titres en mains de tiers ou l’audition de témoins, ce qu’il s’est abstenu de faire sur ce point. L’appelant prétend encore que la part d’entretien concernant P.________ serait « nulle » dès le 4 décembre 2015, date du dépôt de la procédure provisionnelle, puisque la prénommée, majeure, ne serait pas partie à celle-ci et n’aurait pas donné procuration à l’intimée pour la représenter. Cette argumentation ne saurait être suivie. On rappellera en effet que la pension dont la modification est requise a été fixée globalement selon l’ancien droit pour l’entretien de l’intimée, de la fille des parties et de P.________, de sorte que la part relative à l’entretien de cette dernière correspond en réalité à un poste du budget de l’intimée, bénéficiaire de ladite pension. Les griefs concernant l’entretien de P.________ doivent donc être rejetés dans la mesure où ils sont recevables.</w:t>
      </w:r>
    </w:p>
    <w:p>
      <w:r>
        <w:rPr>
          <w:b/>
        </w:rPr>
        <w:t>E. 9</w:t>
      </w:r>
    </w:p>
    <w:p>
      <w:r>
        <w:t>juillet 2015 ; TF 4A_664/2014 du 10 juillet 2015).</w:t>
      </w:r>
    </w:p>
    <w:p>
      <w:r>
        <w:rPr>
          <w:b/>
        </w:rPr>
        <w:t>E. 9.1</w:t>
      </w:r>
    </w:p>
    <w:p>
      <w:r>
        <w:t>L’intimée conclut à ce que l’appelant et/ou son avocat soient condamnés à une amende pour témérité.</w:t>
      </w:r>
    </w:p>
    <w:p>
      <w:r>
        <w:rPr>
          <w:b/>
        </w:rPr>
        <w:t>E. 9.2</w:t>
      </w:r>
    </w:p>
    <w:p>
      <w:r>
        <w:t>Aux termes de l’art. 128 al. 3 CPC, la partie ou son représentant qui usent de mauvaise foi ou de procédés téméraires sont punis d’une amende disciplinaire de 2'000 fr. au plus ; l’amende est de 5'000 fr. en cas de récidive. La sanction disciplinaire a un caractère exceptionnel et postule un comportement qualifié (Haldy, Commentaire romand, Code de procédure civile, 2 e éd., Bâle 2019, n. 5 ad 128 CPC). A titre d’exemple, use d’un comportement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 En application des principes de la proportionnalité (art. 5 al. 2 Cst.) et de la bonne foi (art. 5 al. 3 Cst. et 52 CPC), ainsi que pour respecter le droit d'être entendu (Bohnet, CPC annoté, Bâle 2016, n. 2 ad art. 128 CPC) de la personne visée par une mesure disciplinaire (art. 29 al. 2 Cst.), cette dernière doit être rendue attentive à la menace qui pèse sur elle avant qu'une telle mesure ne soit prononcée à son encontre (ATF 141 III 265 consid. 5.2 ; TF 4A_502/2014 du</w:t>
      </w:r>
    </w:p>
    <w:p>
      <w:r>
        <w:rPr>
          <w:b/>
        </w:rPr>
        <w:t>E. 9.3</w:t>
      </w:r>
    </w:p>
    <w:p>
      <w:r>
        <w:t>En l’espèce, les griefs soulevés par l’appelant s’avèrent infondés, respectivement irrecevables. En outre, l’acte d’appel ne respecte pour partie pas les exigences de motivation et se révèle être une compilation d’arguments répétés à plusieurs reprises et de manière désordonnée, dont la plupart ne font que reprendre des moyens déjà soulevés lors de la procédure de mesures provisionnelles de 2016 sans y ajouter d’éléments nouveaux. L’intéressé invoque par ailleurs un contrat de prêt conclu le 2 janvier 2018 avec M.________ SA, produit seulement au stade de l’appel, pour tenter de démontrer qu’il se serait endetté, mais s’est bien gardé de renseigner l’autorité de céans au sujet du fait que ce prêt a été remboursé dans l’intervalle selon la convention conclue le 7 septembre 2018, soit antérieurement à ses déterminations spontanées du 3 octobre 2018. Compte tenu de ces éléments, la Cour de céans considère que le procédé de l’appelant est à la limite de la témérité, un plaideur raisonnable et de bonne foi n’ayant très certainement pas agi de cette manière, ni même interjeté d’appel. Cela étant, compte tenu notamment des quelques éléments nouveaux que l’intéressé a tenté de faire valoir, on ne saurait considérer qu’il s’agit d’un procédé entièrement téméraire au sens restrictif de la jurisprudence, de sorte qu’il est renoncé à infliger une amende disciplinaire à l’appelant. Ce dernier est toutefois rendu attentif au fait que s’il venait à soulever à nouveau les mêmes moyens dans une procédure ultérieure en modification, un tel procédé pourrait alors être considéré comme téméraire au vu des décisions judiciaires déjà rendues.</w:t>
      </w:r>
    </w:p>
    <w:p>
      <w:r>
        <w:rPr>
          <w:b/>
        </w:rPr>
        <w:t>E. 10.1</w:t>
      </w:r>
    </w:p>
    <w:p>
      <w:r>
        <w:t>En définitive, l’appel doit être rejeté dans la mesure où il est recevable, l’appel joint déclaré irrecevable et l’ordonnance confirmée.</w:t>
      </w:r>
    </w:p>
    <w:p>
      <w:r>
        <w:rPr>
          <w:b/>
        </w:rPr>
        <w:t>E. 10.2</w:t>
      </w:r>
    </w:p>
    <w:p>
      <w:r>
        <w:t>Vu l’issue de l’appel, les frais judiciaires de deuxième instance, arrêtés à 5'200 fr. – à savoir 5'000 fr. pour l’émolument de décision sur appel (art. 65 al. 4 TFJC [Tarif des frais judiciaires civils du 28 septembre 2010 ; BLV 270.11.5]) et 200 fr. pour l’ordonnance du 27 août 2018 (art. 60 TFJC appliqué par analogie) –, seront mis à la charge de l’appelant, qui succombe entièrement (art. 106 al. 1 CPC). L’appelant versera en outre de pleins dépens de deuxième instance à l’intimée, évalués à 3'500 fr. (art. 7 TDC [Tarif des dépens en matière civile du 23 novembre 2010 ; BLV 270.11.6]). Par ces motifs, le Juge délégué de la Cour d’appel civile prononce : I. L’appel est rejeté dans la mesure où il est recevable. II. L’appel joint est irrecevable. III. L’ordonnance est confirmée. IV. Les frais judiciaires de deuxième instance, arrêtés à 5'200 fr. (cinq mille deux cents francs), sont mis à la charge de l’appelant A.K.________. V. L’appelant A.K.________ versera à l’intimée B.K.________ la somme de 3'500 fr. (trois mille cinq cents francs) à titre de dépens de deuxième instance. VI. L’arrêt est exécutoire Le juge délégué : Le greffier : Du Le présent arrêt, dont la rédaction a été approuvée à huis clos, est notifié en expédition complète à : ‑ Me Albert J. Graf (pour A.K.________), ‑ Me Jean-Yves Schmidhauser (pour B.K.________),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