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110 vom 31. Januar 2019</w:t>
      </w:r>
    </w:p>
    <w:p>
      <w:r>
        <w:t>VD Tribunal cantonal, 2019-01-31, FR</w:t>
      </w:r>
    </w:p>
    <w:p>
      <w:r>
        <w:rPr>
          <w:b/>
        </w:rPr>
        <w:t xml:space="preserve">Quelle: </w:t>
      </w:r>
      <w:r>
        <w:t>https://mcp.opencaselaw.ch/entscheid/vd_findinfo_HC___2019___110</w:t>
      </w:r>
    </w:p>
    <w:p>
      <w:r>
        <w:t>FR: VD_FINDINFO HC / 2019 / 110 du 31 janvier 2019</w:t>
      </w:r>
    </w:p>
    <w:p>
      <w:r>
        <w:t>IT: VD_FINDINFO HC / 2019 / 110 del 31 gennaio 2019</w:t>
      </w:r>
    </w:p>
    <w:p>
      <w:pPr>
        <w:pStyle w:val="Heading2"/>
      </w:pPr>
      <w:r>
        <w:t>Regeste</w:t>
      </w:r>
    </w:p>
    <w:p>
      <w:r>
        <w:t>ASSISTANCE JUDICIAIRE, DROIT D'ÊTRE ENTENDU, CONSTATATION DES FAITS, MAXIME INQUISITOIRE, SÛRETÉS | 117 CPC (CH), 118 CPC (CH), 125 let. c CPC (CH)</w:t>
      </w:r>
    </w:p>
    <w:p>
      <w:pPr>
        <w:pStyle w:val="Heading2"/>
      </w:pPr>
      <w:r>
        <w:t>Erwägungen</w:t>
      </w:r>
    </w:p>
    <w:p>
      <w:r>
        <w:rPr>
          <w:b/>
        </w:rPr>
        <w:t>E. 1.1</w:t>
      </w:r>
    </w:p>
    <w:p>
      <w:r>
        <w:t>L’art. 319 let. b ch. 1 CPC ouvre la voie du recours contre les décisions et ordonnances d’instruction de première instance pour lesquelles un recours est expressément prévu par la loi. 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Commentaire romand, Code de procédure civile, 2 e éd., 2019, n. 6 et 16 ad art. 121 CPC). Ce droit de recours doit s’exercer aux conditions de l’art. 104 CPC permettant normalement d’attaquer le refus de telles sûretés (CREC 20 septembre 2016/373 consid. 1 ; CREC 10 août 2016/315 consid. 1.1).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(TF 4A_366/2013 du 20 décembre 2013 consid. 3 ; Tappy, op. cit., n. 6 ad art. 118 CPC et n. 16 ad art. 121 CPC).</w:t>
      </w:r>
    </w:p>
    <w:p>
      <w:r>
        <w:rPr>
          <w:b/>
        </w:rPr>
        <w:t>E. 1.1.1</w:t>
      </w:r>
    </w:p>
    <w:p>
      <w:r>
        <w:t>et les réf. citées).</w:t>
      </w:r>
    </w:p>
    <w:p>
      <w:r>
        <w:rPr>
          <w:b/>
        </w:rPr>
        <w:t>E. 1.2</w:t>
      </w:r>
    </w:p>
    <w:p>
      <w:r>
        <w:t>En l’espèce, dès lors que la décision entreprise prive les recourants de leur droit à la fourniture de sûretés, ceux-ci disposent d’un intérêt digne de protection à recourir. Partant, les recours, déposés en temps utile, motivés et signés, sont recevables.</w:t>
      </w:r>
    </w:p>
    <w:p>
      <w:r>
        <w:rPr>
          <w:b/>
        </w:rPr>
        <w:t>E. 2.1</w:t>
      </w:r>
    </w:p>
    <w:p>
      <w:r>
        <w:t>Pour simplifier le procès, le juge peut notamment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CPC commenté, Bâle 2011, n. 6 ad art. 125 CPC).</w:t>
      </w:r>
    </w:p>
    <w:p>
      <w:r>
        <w:rPr>
          <w:b/>
        </w:rPr>
        <w:t>E. 2.2</w:t>
      </w:r>
    </w:p>
    <w:p>
      <w:r>
        <w:t>En l'occurrence, les deux recours, formés respectivement par D.________ et L.________, concernent la même cause et visent le même prononcé. Elles concernent ainsi le même complexe de faits et les mêmes questions juridiques, de sorte qu’il se justifie que les deux causes soient jointes pour être traitées dans le présent arrêt.</w:t>
      </w:r>
    </w:p>
    <w:p>
      <w:r>
        <w:rPr>
          <w:b/>
        </w:rPr>
        <w:t>E. 3</w:t>
      </w:r>
    </w:p>
    <w:p>
      <w:r>
        <w:t>Le recours est recevable pour violation du droit et constatation manifestement inexacte des faits (art. 320 CPC). L'autorité de recours dispose d'un plein pouvoir d'examen s'agissant de la violation du droit (Spühler, Basler Kommentar ZPO, 2 e éd., 2013, n. 1 ad art. 320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2009, n. 19 ad art. 97 LTF).</w:t>
      </w:r>
    </w:p>
    <w:p>
      <w:r>
        <w:rPr>
          <w:b/>
        </w:rPr>
        <w:t>E. 4.1</w:t>
      </w:r>
    </w:p>
    <w:p>
      <w:r>
        <w:t>La recourante D.________ invoque en premier lieu une constatation manifestement inexacte des faits. En particulier, l’intimé aurait indiqué dans le formulaire tendant à l’octroi de l’assistance judiciaire une fortune immobilière de « 0 », alors que la pièce 211 ferait état de biens immobiliers non séquestrés. Il en irait de même des biens mobiliers, le premier juge ayant retenu à tort qu’ils étaient tous séquestrés, alors que divers actifs mobiliers ne feraient l’objet d’aucun séquestre et seraient réalisables, tels que les actions [...] (pièces 208 et 209), pour un montant d’environ</w:t>
      </w:r>
    </w:p>
    <w:p>
      <w:r>
        <w:rPr>
          <w:b/>
        </w:rPr>
        <w:t>E. 4.2</w:t>
      </w:r>
    </w:p>
    <w:p>
      <w:r>
        <w:t>En l’espèce, les pièces produites le 5 octobre 2018 en première instance par la recourante démontrent effectivement que l’intimé dispose de certains éléments de fortune immobilière et mobilière qui ne feraient l’objet d’aucun séquestre, ce qui justifie de compléter l’état de fait.</w:t>
      </w:r>
    </w:p>
    <w:p>
      <w:r>
        <w:rPr>
          <w:b/>
        </w:rPr>
        <w:t>E. 5</w:t>
      </w:r>
    </w:p>
    <w:p>
      <w:r>
        <w:t>millions, ainsi qu’un bateau [...]. Quant à la valeur des actions de la société [...], le premier juge aurait retenu à tort qu’il convenait de prendre en compte la valeur nominale, alors qu’il aurait fallu prendre en considération leur valeur vénale.</w:t>
      </w:r>
    </w:p>
    <w:p>
      <w:r>
        <w:rPr>
          <w:b/>
        </w:rPr>
        <w:t>E. 5.1</w:t>
      </w:r>
    </w:p>
    <w:p>
      <w:r>
        <w:t>La recourante D.________ invoque une violation du droit en ce sens qu’elle fait grief à la juge déléguée d’avoir considéré que sa réplique du 2 novembre 2018 était irrecevable.</w:t>
      </w:r>
    </w:p>
    <w:p>
      <w:r>
        <w:rPr>
          <w:b/>
        </w:rPr>
        <w:t>E. 5.2</w:t>
      </w:r>
    </w:p>
    <w:p>
      <w:r>
        <w:t>En l’espèce, le premier juge a fait application de la jurisprudence fédérale contenue à l’ATF 144 III 117 consid. 2.2, en vertu de laquelle, en procédure sommaire, la clôture de la phase d’allégation a lieu après le premier échange d’écritures, de sorte que lorsqu’un second échange d’écritures n’a pas été ordonné et qu’aucune audience n’a eu lieu, les parties ne peuvent plus produire de novas . Se fondant sur cette jurisprudence, le premier juge a dès lors considéré que la réplique déposée par les intimés le 2 novembre 2018 n’était pas recevable en ce qu’elle concernait les faits nouveaux invoqués. Quoi qu’il en soit, elle a estimé que la recevabilité de cette écriture n’était guère décisive.</w:t>
      </w:r>
    </w:p>
    <w:p>
      <w:r>
        <w:rPr>
          <w:b/>
        </w:rPr>
        <w:t>E. 5.3</w:t>
      </w:r>
    </w:p>
    <w:p>
      <w:r>
        <w:t>La recourante D.________ fonde sa critique sur un article de doctrine, qui critique la jurisprudence précitée. Il convient cependant d’appliquer la jurisprudence fédérale, de sorte que le grief est mal fondé. Quoi qu’il en soit, le recours s’avère bien fondé sans même qu’il ne soit nécessaire d’inclure les novas en question (cf. infra ).</w:t>
      </w:r>
    </w:p>
    <w:p>
      <w:r>
        <w:rPr>
          <w:b/>
        </w:rPr>
        <w:t>E. 6.1</w:t>
      </w:r>
    </w:p>
    <w:p>
      <w:r>
        <w:t>La recourante D.________ invoque une violation du droit en ce sens que le premier juge aurait considéré à tort que la maxime des débats était applicable à l’égard des ressources de l’intimé, en lieu et place de la maxime inquisitoire.</w:t>
      </w:r>
    </w:p>
    <w:p>
      <w:r>
        <w:rPr>
          <w:b/>
        </w:rPr>
        <w:t>E. 6.2</w:t>
      </w:r>
    </w:p>
    <w:p>
      <w:r>
        <w:t>Celui qui requiert l’assistance judiciaire doit indiquer d’une « manière complète », établir, dans la mesure du possible, ses revenus, sa situation de fortune et ses charges (TF 5D_114/2012 du 4 octobre 2012 consid. 2.3.2), et exposer l’affaire et les moyens de preuve qu’il entend invoquer (art. 119 al. 2 CPC).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 citées).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Le devoir d’interpellation du tribunal, déduit de l’art. 56 CPC, vaut avant tout pour les personnes non assistées et juridiquement inexpérimentées. Le juge n’a pas, de par son devoir d’interpellation, à compenser le manque de collaboration que l’on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précité consid. 3.2.2 et les réf. citées).</w:t>
      </w:r>
    </w:p>
    <w:p>
      <w:r>
        <w:rPr>
          <w:b/>
        </w:rPr>
        <w:t>E. 6.3</w:t>
      </w:r>
    </w:p>
    <w:p>
      <w:r>
        <w:t>En l’espèce, le premier juge a en effet retenu que, s’agissant des ressources financières de l’intimé, la maxime des débats était applicable (art. 225 CPC a contrario ) et que dans la mesure où les recourants n’avaient pas contesté les charges invoquées elles pouvaient être retenues telles quelles. Or, il ressort de la jurisprudence fédérale susmentionnée que, contrairement à ce qui a été retenu, c’est la maxime inquisitoire qui est applicable en procédure d’octroi de l’assistance judiciaire et, partant, que le fait que ces charges n’aient pas été contestées par les recourants ne dispensait pas l’intimé de les établir. Ce grief est dès lors bien fondé.</w:t>
      </w:r>
    </w:p>
    <w:p>
      <w:r>
        <w:rPr>
          <w:b/>
        </w:rPr>
        <w:t>E. 7.1</w:t>
      </w:r>
    </w:p>
    <w:p>
      <w:r>
        <w:t>La recourante D.________ invoque une violation de son droit d’être entendue. Elle expose que les pièces accompagnant la requête d’assistance judiciaire n’ont pas été transmises à son conseil et qu’elle n’a elle-même eu accès ni à la requête ni aux pièces.</w:t>
      </w:r>
    </w:p>
    <w:p>
      <w:r>
        <w:rPr>
          <w:b/>
        </w:rPr>
        <w:t>E. 7.2</w:t>
      </w:r>
    </w:p>
    <w:p>
      <w:r>
        <w:t>De jurisprudence constante, la procédure relative à l’assistance judiciaire est une procédure entre le requérant et l’Etat (ATF 140 III 501 consid. 4.1.2). La partie adverse du requérant dans le procès principal n’a pas la qualité de partie dans la procédure en question. Elle n’a dès lors pas d’intérêt digne de protection à recourir contre la décision d’octroi de l’assistance judiciaire, à moins qu’elle ait requis des sûretés en garantie des dépens (art. 99 CPC). Dans ce cas en effet, l’octroi de l’assistance judiciaire fait échec à cette requête (art. 118 al. 1 let. a CPC). Pour cette raison, la partie adverse doit toujours être entendue dans la procédure d’assistance judiciaire lorsqu’elle requiert des sûretés en garantie des dépens ; dans les autres cas, elle ne l’est qu’en vertu du pouvoir d’appréciation du juge et sans que l’invitation à se déterminer ne lui confère pour autant la qualité de partie (art. 119 al. 3 CPC ; ATF 139 III 334 consid. 4.3 ; TF 5A_217/2017 du 21 juin 2017 consid.</w:t>
      </w:r>
    </w:p>
    <w:p>
      <w:r>
        <w:rPr>
          <w:b/>
        </w:rPr>
        <w:t>E. 7.3</w:t>
      </w:r>
    </w:p>
    <w:p>
      <w:r>
        <w:t>En l’espèce, dès lors qu’en raison de sa requête de sûretés, la recourante D.________ était partie à la procédure d’assistance judiciaire, elle devait, comme toute partie, avoir accès aux pièces du dossier. Son droit d’être entendue a par conséquent été violé. Ce grief, qui est bien fondé, justifie une annulation de la décision et un renvoi en première instance.</w:t>
      </w:r>
    </w:p>
    <w:p>
      <w:r>
        <w:rPr>
          <w:b/>
        </w:rPr>
        <w:t>E. 8.1</w:t>
      </w:r>
    </w:p>
    <w:p>
      <w:r>
        <w:t>La recourante D.________ fait valoir que les conditions d’octroi de l’assistance judiciaire ne seraient pas réalisées.</w:t>
      </w:r>
    </w:p>
    <w:p>
      <w:r>
        <w:rPr>
          <w:b/>
        </w:rPr>
        <w:t>E. 8.2</w:t>
      </w:r>
    </w:p>
    <w:p>
      <w:r>
        <w:t>Les règles sur l’assistance judiciaire doivent permettre de garantir que tout un chacun puisse accéder à la justice même si ses ressources ne lui permettent pas d’assumer les coûts d’un procès (art. 29 al. 3 Cst. ; art. 117 à 122 CPC). Aux termes de l’art. 117 CPC, une personne a droit à l’assistance judiciaire si elle ne dispose pas de ressources suffisantes (let. a) et si sa cause ne paraît pas dépourvue de toute chance de succès (let. b). Selon la jurisprudence, un procès est dénué de toute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(ATF 138 III 217 consid. 2.2.4 ; TF 4A_235/2015 du 20 octobre 2015 consid. 3). Le Tribunal fédéral considère qu’il appartient en principe au requérant d’établir les éléments nécessaires pour établir le bien-fondé de sa requête. Une vraisemblance peut parfois suffire, mais si la situation reste non éclaircie ou si l’intéressé se dérobe devant son devoir de fournir des renseignements, l’assistance sera refusée (ATF 125 IV 161, JdT 2001 IV 93). L'indigence doit être appréciée au vu de la situation économique qui prévaut à la date du dépôt de la requête. Aussi, l’intéressé ne peut déposer une nouvelle requête d’assistance judiciaire que lorsque les circonstances de fait se sont modifiées après constat de non indigence par le juge (TF 4A_696/2016 du 21 avril 2017 consid. 3.1).</w:t>
      </w:r>
    </w:p>
    <w:p>
      <w:r>
        <w:rPr>
          <w:b/>
        </w:rPr>
        <w:t>E. 8.3</w:t>
      </w:r>
    </w:p>
    <w:p>
      <w:r>
        <w:t>A ce stade, dans la mesure où la cause sera renvoyée au premier juge pour nouvelle décision, il n’est pas nécessaire d’examiner plus avant ce grief. Il appartiendra cependant au premier juge d’approfondir la question de l’indigence de l’intimé conformément aux principes exposés supra aux consid. 6.2 et 8.3. Le recourant L.________ expose en outre que les chances de succès sont nulles dès lors que l’autorisation de procéder délivrée à l’intimé concerne une action introduite à l’encontre uniquement de la recourante D.________ et non pas à l’encontre du recourant L.________, de sorte que la demande déposée à son encontre serait vouée à l’échec. Ce grief est toutefois infondé, l’intimé se prévalant à juste titre de l’art. 199 al. 2 CPC, lui permettant de de décider unilatéralement de renoncer à la procédure de conciliation à l’égard d’un défendeur domicilié à l’étranger (let. a).</w:t>
      </w:r>
    </w:p>
    <w:p>
      <w:r>
        <w:rPr>
          <w:b/>
        </w:rPr>
        <w:t>E. 9.1</w:t>
      </w:r>
    </w:p>
    <w:p>
      <w:r>
        <w:t>La recourante D.________ expose encore que ce serait à tort que le premier juge aurait retenu que l’octroi de l’assistance judiciaire faisait échec à la requête en fourniture de sûretés en garantie des dépens et que, compte tenu de l’exonération de sûretés accordée à l’intimé, la requête de sûretés était devenue sans objet.</w:t>
      </w:r>
    </w:p>
    <w:p>
      <w:r>
        <w:rPr>
          <w:b/>
        </w:rPr>
        <w:t>E. 9.2</w:t>
      </w:r>
    </w:p>
    <w:p>
      <w:r>
        <w:t>L’assistance judiciaire peut porter partiellement sur chacune des lettres a, b et c de l’art. 118 al. 1 CPC ou être accordée pour l’une ou l’autre de celles-ci. Le droit fédéral n’exclut donc pas que la partie partiellement indigente soit exonérée d’avances et de sûretés au sens de l’art. 118 al. 1 let. a CPC, mais que la désignation d’un avocat d’office lui soit refusée. Est cependant exclue la possibilité d’accorder l’assistance pour les sûretés en garantie des dépens de la partie adverse, alors qu’elle serait refusée pour l’avance des frais judiciaires (ATF 141 III 369 consid. 4.3, cité in Colombini, CPC Condensé de jurisprudence, 2018, n. 3.2.1 ad art. 118 CPC). Si l’octroi de l’assistance judiciaire peut comprendre l’exonération des suretés, cette dispense n’est pas automatique. L’octroi de l’assistance judiciaire ne dispense pas le juge saisi d’une requête de suretés d’examiner si les conditions de l’art. 99 CPC sont réalisées (CREC 26 août 2015/310, cité in Colombini, op. cit., n. 3.2.2 ad art. 118 CPC ; cf. également TF 4A_614/2015 du 25 avril 2016 consid. 3.1 ; CREC 22 août 2016/226 consid. 4.3).</w:t>
      </w:r>
    </w:p>
    <w:p>
      <w:r>
        <w:rPr>
          <w:b/>
        </w:rPr>
        <w:t>E. 9.3</w:t>
      </w:r>
    </w:p>
    <w:p>
      <w:r>
        <w:t>Compte tenu de ce qui précède, force est de constater que l’octroi, en faveur de l’intimé, de l’assistance judiciaire pour l’avance des frais judiciaire ne saurait impliquer automatiquement de le dispenser de la fourniture de sûretés et ne suffit pas à lui seul à faire échec à la requête formée en ce sens par les recourants. Partant, le grief est fondé, ce qui justifie également l’annulation du prononcé entrepris. Il conviendra en effet que le premier juge examine si les conditions de l’art. 99 CPC sont réalisées à cet égard.</w:t>
      </w:r>
    </w:p>
    <w:p>
      <w:r>
        <w:rPr>
          <w:b/>
        </w:rPr>
        <w:t>E. 10</w:t>
      </w:r>
    </w:p>
    <w:p>
      <w:r>
        <w:t>Au vu de ce qui précède, les recours doivent être admis et le prononcé annulé, la cause étant renvoyée à la Juge déléguée de la Chambre patrimoniale cantonale pour nouvelle décision dans le sens des considérants. Les frais judiciaires de deuxième instance, arrêtés à 6'200 fr. (art. 69 al. 1 et 70 al. 3 TFJC [tarif des frais judiciaires en matière civile du 28 septembre 2010 ; BLV 270.11.5]), seront mis à la charge de l’intimé, qui succombe (art. 106 al. 1 CPC). L’intimé versera à chacun des recourants la somme de 5'600 fr. (art. 8 al. 1 TDC [tarif des dépens en matière civile du 23 novembre 2010, BLV 270.11.6]) à titre de dépens et de restitution d’avance de frais de deuxième instance (art. 106 al. 1 CPC). Par ces motifs, la Chambre des recours civile du Tribunal cantonal, prononce : I. Les causes sont jointes. II. Les recours sont admis. III. Le prononcé est annulé. IV. La cause est renvoyée à la Juge déléguée de la Chambre patrimoniale cantonale pour nouvelle décision dans le sens des considérants. V. Les frais judiciaires de deuxième instance, arrêtés à 6'200 fr. (six mille deux cents francs), sont mis à la charge de l’intimé H.________. VI. L’intimé H.________ versera à chacun des recourants D.________ et L.________ la somme de 5'600 fr. (cinq mille six cents francs) à titre de dépens et de restitution d’avance de frais de deuxième instance. VII. L’arrêt est exécutoire. Le président :               La greffière : Du L'arrêt qui précède, dont la rédaction a été approuvée à huis clos, est notifié à : ‑ Me Jean-Pierre Gross (pour D.________), ‑ Me Olivier Nicod (pour L.________), - Me Thierry Amy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