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1000 vom 22. November 2019</w:t>
      </w:r>
    </w:p>
    <w:p>
      <w:r>
        <w:t>VD Tribunal cantonal, 2019-11-22, FR</w:t>
      </w:r>
    </w:p>
    <w:p>
      <w:r>
        <w:rPr>
          <w:b/>
        </w:rPr>
        <w:t xml:space="preserve">Quelle: </w:t>
      </w:r>
      <w:r>
        <w:t>https://mcp.opencaselaw.ch/entscheid/vd_findinfo_HC___2019___1000</w:t>
      </w:r>
    </w:p>
    <w:p>
      <w:r>
        <w:t>FR: VD_FINDINFO HC / 2019 / 1000 du 22 novembre 2019</w:t>
      </w:r>
    </w:p>
    <w:p>
      <w:r>
        <w:t>IT: VD_FINDINFO HC / 2019 / 1000 del 22 novembre 2019</w:t>
      </w:r>
    </w:p>
    <w:p>
      <w:pPr>
        <w:pStyle w:val="Heading2"/>
      </w:pPr>
      <w:r>
        <w:t>Regeste</w:t>
      </w:r>
    </w:p>
    <w:p>
      <w:r>
        <w:t>COMPÉTENCE RATIONE MATERIAE, CONTRIBUTION PATRIMONIALE DU CONJOINT, DROIT FISCAL, RESPONSABILITÉ SOLIDAIRE, PRÊT DE CONSOMMATION, PRINCIPE DE LA CONFIANCE{INTERPRÉTATION DU CONTRAT} | 163 CC, 165 al. 2 CC, 148 al. 2 CO, 312 CO</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Ill 43 consid. 2 et les réf. citées).</w:t>
      </w:r>
    </w:p>
    <w:p>
      <w:r>
        <w:rPr>
          <w:b/>
        </w:rPr>
        <w:t>E. 3.1</w:t>
      </w:r>
    </w:p>
    <w:p>
      <w:r>
        <w:t>Bien que les parties ne contestent pas la saisine de la Chambre patrimoniale, il convient d'examiner d'office si cette autorité était compétente pour connaître des prétentions litigieuses.</w:t>
      </w:r>
    </w:p>
    <w:p>
      <w:r>
        <w:rPr>
          <w:b/>
        </w:rPr>
        <w:t>E. 3.2</w:t>
      </w:r>
    </w:p>
    <w:p>
      <w:r>
        <w:t>La Chambre patrimoniale connaît, pour l'ensemble du canton de Vaud, de toutes les causes patrimoniales dont la valeur litigieuse est supérieure à 100'000 fr. ainsi que de toutes les causes qui lui sont attribuées de par la loi (art. 96g LOJV [loi d’organisation judiciaire du 12 décembre 1979 ; BLV 173.021]). Selon le Tribunal fédéral, l'introduction de la procédure de divorce ne modifie en rien la nature de la créance fondée sur l'art. 165 CC, qui détermine la compétence matérielle du juge. Elle ne fait que délimiter, en vertu du principe de l'unité du jugement de divorce et par attraction de compétence uniquement, la compétence entre le juge ordinaire et le juge du divorce pour statuer sur cette créance. Avant l'introduction de la demande en divorce, cette compétence revient au juge ordinaire, qui demeure compétent même si l'un des époux engage ensuite une procédure de divorce. Après l'introduction de cette action, si le juge ordinaire n'a pas déjà été saisi, la contestation devra être tranchée par le juge du divorce (TF 5A_633/2015 du 18 février 2016 consid. 4.1.3). Selon le Tribunal fédéral, la Chambre patrimoniale, soit le juge ordinaire, demeure compétent pour connaître d’une demande en paiement (supérieure à 100'000 fr., réd.) fondée sur l'art. 165 CC introduite avant une demande en divorce, quand bien même une procédure de divorce est introduite par la suite (TF 5A_633/2015, déjà cit., consid. 4.1.4)</w:t>
      </w:r>
    </w:p>
    <w:p>
      <w:r>
        <w:rPr>
          <w:b/>
        </w:rPr>
        <w:t>E. 3.3</w:t>
      </w:r>
    </w:p>
    <w:p>
      <w:r>
        <w:t>En l’espèce, la demande en paiement du 26 juin 2013 a été adressée à la Chambre patrimoniale avant l’introduction de la procédure de divorce. Il s’ensuit que cette autorité demeurait compétente pour connaître des prétentions de l’appelante, que l’on considère celles-ci comme étant fondées sur les dispositions relatives à l’entretien de la famille (cf. infra consid. 5.3) ou sur le droit des obligations (cf. infra consid. 6.3), le Tribunal de première instance, soit le juge du divorce, n’étant quant à lui pas compétent pour statuer sur les prétentions litigieuses, comme retenu par la Cour de justice.</w:t>
      </w:r>
    </w:p>
    <w:p>
      <w:r>
        <w:rPr>
          <w:b/>
        </w:rPr>
        <w:t>E. 4.1</w:t>
      </w:r>
    </w:p>
    <w:p>
      <w:r>
        <w:t>J.________ (ci-après : l'appelante) revient tout d’abord sur les faits de la cause en pages 4 à 12 de son acte d’appel, allégués 1 à 48, en particulier sur le fait qu'elle n'aurait eu d'autre choix que de prêter à son époux les montants nécessaires pour éviter des procédures de recouvrement de la part de l’administration fiscale, se référant notamment au récapitulatif établi par U.________ (cf. all. 15 à 33).</w:t>
      </w:r>
    </w:p>
    <w:p>
      <w:r>
        <w:rPr>
          <w:b/>
        </w:rPr>
        <w:t>E. 4.2</w:t>
      </w:r>
    </w:p>
    <w:p>
      <w:r>
        <w:t>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entrer en matière (TF 4A_61/2016 du 10 mai 2016 consid. 4 ; TF 4A_580/2015 du 11 avril 2016 consid. 2.2, non publié à l’ATF 142 III 271 ; TF 4A_593/2015 du 13 décembre 2016 consid. 5.1 ; TF 4A_376/2016 du 2 décembre 2016 consid. 3.2.1 ; TF 5A_488/2015 du 21 août 2015 consid. 3.2.1, RSPC 2015 p. 512 ; TF 4A_290/2014 du 1 er septembre 2014 consid. 3.1, RSPC 2015 p. 52 ; TF 5A_438/2012 du 27 août 2012 consid. 2.2 ; Colombini, Code de procédure civile, Condensé de jurisprudence fédérale et vaudoise, 2018, n. 8.2.1 ad art. 311 CPC).</w:t>
      </w:r>
    </w:p>
    <w:p>
      <w:r>
        <w:rPr>
          <w:b/>
        </w:rPr>
        <w:t>E. 4.3</w:t>
      </w:r>
    </w:p>
    <w:p>
      <w:r>
        <w:t>En l’espèce, dans la première partie de son appel, l’appelante se contente d’alléguer des faits. Ce faisant, elle ne se prévaut cependant pas d'une constatation inexacte des faits de la part des magistrats de première instance, ni n'explique en quoi les faits retenus ne seraient pas conformes au résultat de l'administration des preuves, ce qui ne répond pas aux exigences de motivation de l’art. 311 al. 1 CPC. Pour ces motifs, il n'en sera pas tenu compte.</w:t>
      </w:r>
    </w:p>
    <w:p>
      <w:r>
        <w:rPr>
          <w:b/>
        </w:rPr>
        <w:t>E. 5.1</w:t>
      </w:r>
    </w:p>
    <w:p>
      <w:r>
        <w:t>L’appelante reproche aux premiers juges d’avoir nié l’existence d’un contrat de prêt entre les parties et d’avoir retenu qu’elle avait payé la part d’impôt de Z.________ (ci-après : l’intimé) au titre de l’entretien convenable de l’art. 163 CC. Selon l’appelante, l’intimé n’aurait pas affecté son revenu et sa fortune à l’entretien du ménage. Elle en veut pour preuve le fait qu’il a revendiqué les meubles acquis pendant le mariage dans le cadre de la procédure de divorce. Il s’ensuivrait qu’en payant la part d’impôt de l’intimé, portant sur le revenu et la fortune de celui-ci, l’appelante n’aurait pas contribué à l’entretien de la famille. Dans une motivation subsidiaire, l’appelante reproche aux premiers juges d’avoir nié l’existence d’une créance fondée sur l’art. 148 al. 2 CO. A cet égard, elle soutient s’être acquittée, en qualité de débitrice solidaire, d’une charge fiscale dépassant sa part.</w:t>
      </w:r>
    </w:p>
    <w:p>
      <w:r>
        <w:rPr>
          <w:b/>
        </w:rPr>
        <w:t>E. 5.2.1</w:t>
      </w:r>
    </w:p>
    <w:p>
      <w:r>
        <w:t>L'attribution interne des dettes entre les époux dépend premièrement de la répartition (légale ou conventionnelle) de la charge d'entretien entre les époux selon l'art. 163 CC ou d'autres conventions entre ceux-ci au sujet des actes accomplis en application de l'art. 166 CC. L'attribution des dettes se fait, en deuxième lieu, en fonction du régime matrimonial. Dans le régime matrimonial ordinaire et dans le régime de la séparation de biens, les deux époux répondent de leurs dettes sur tous leurs biens (art. 202 et 249 CC) (Deschenaux/ Steinauer/Baddeley, Les effets du mariage, 3 e éd., 2017, n. 375, p. 282 ; Leuba, Commentaire romand, Code civil I, 2010 [cité ci-après : CR-CC I], n. 32 ad art. 166 CC). Ce n'est donc pas parce qu'un conjoint a été valablement représenté sur le plan externe qu'il devra forcément répondre de la dette à l'interne. Les dettes entre époux peuvent naître de causes quelconques. Les dettes d'un époux envers son conjoint sont en principe régies par les règles ordinaires du droit des obligations. Ces dettes peuvent ainsi avoir leur fondement dans un contrat (vente, bail, prêt, contrat de travail, mandat, etc.), un acte illicite, un enrichissement illégitime ou une gestion d'affaire (Deschenaux/Steinauer/Baddeley, op. cit., n° 1088, p. 655). Elles peuvent aussi avoir leur fondement dans les dispositions qui régissent le mariage lui-même (art. 163 à 166 CC). Les dispositions sur le mandat ou sur l'enrichissement ne sont applicables que lorsque les prestations sont effectuées dans un autre but que l'entretien de la famille ou la collaboration à la profession ou à l'entreprise du conjoint (ATF 127 III 46, JdT 2000 II 103).</w:t>
      </w:r>
    </w:p>
    <w:p>
      <w:r>
        <w:rPr>
          <w:b/>
        </w:rPr>
        <w:t>E. 5.2.2</w:t>
      </w:r>
    </w:p>
    <w:p>
      <w:r>
        <w:t>Les charges publiques, en particulier les impôts, font partie de l'entretien de la famille au sens de l'art. 163 CC, dans la mesure où les biens ou revenus imposés sont affectés à l'entretien de la famille. Tel n'est pas le cas, en principe, des impôts successoraux et sur les donations. Il n'est cependant pas inhabituel de voir un époux utiliser un héritage pour offrir des vacances exclusives à sa famille ou pour financer une formation à un enfant ; dans ce cas, l'impôt grevant l'attribution est une composante de l'entretien (Deschenaux/Steinauer/Baddeley, op. cit., n. 418 p. 303 ; Pichonnaz, CR-CC I, n. 28 ad art. 163 CC. Sur le plan interne, la charge fiscale est répartie conformément à l’art. 163 CC (TF 5A_797/2012 du 18 mars 2013 consid. 2.4 et les réf. citées), de sorte que chaque époux s’en acquitte selon sa capacité contributive, qui se détermine en fonction des revenus, de la fortune et des dettes des époux (art. 163 al. 1 CC ; Pichonnaz, op. cit., n. 34 ad art. 163 CC) et selon la convention des époux portant sur la façon dont chacun contribue à l’entretien de la famille (art. 163 al. 2 CC ; Pichonnaz, op. cit., n. 39 ad art. 163 CC). Si un époux s'acquitte des dettes familiales dans une trop large mesure, il pourra se prévaloir soit des art. 163 CC et 148 al. 2 CO, soit de l'art. 165 al. 2 CC, afin d'obtenir le remboursement ou une indemnité équitable (Deschenaux/ Steinauer/Baddeley, op. cit., n. 374, pp. 281 s.). L’époux prestataire n’a droit à une indemnité fondée sur l’art. 165 al. 2 CC que si les contributions pécuniaires ont dépassé dans une mesure notable ce qu’il devait à titre d’entretien ordinaire ; la convention entre les époux fournit la base à cette détermination. Une indemnité au sens de l’art. 165 al. 2 CC n’est due que si les moyens mis à dispositions profitent à l’entretien de la famille. Dans le cas contraire, une restitution des sommes mises à disposition par l’époux créancier peut être demandée notamment sur la base d’un rapport juridique spécifique, tel un contrat de prêt (Deschenaux/Steinauer/ Baddeley, op. cit., nn. 492 ss, pp. 340 s.). Selon Pichonnaz, on ne saurait admettre trop facilement l'existence d'un prêt entre époux, puisque cela exclurait toute appréciation des circonstances particulières contrairement à l'indemnité prévue à l'art. 165 al. 2 CC (Pichonnaz, op. cit., n. 54 ad art. 165 CC).</w:t>
      </w:r>
    </w:p>
    <w:p>
      <w:r>
        <w:rPr>
          <w:b/>
        </w:rPr>
        <w:t>E. 5.3</w:t>
      </w:r>
    </w:p>
    <w:p>
      <w:r>
        <w:t>En l’espèce, comme relevé par les premiers juges, l’appelante s’est acquittée des impôts du couple durant au moins neuf ans sans interruption et sans en demander ou en évoquer le remboursement, si bien qu’il apparaît que les parties avaient convenu tacitement que l’appelante payerait l’entier des impôts du couple. Au vu de la fortune et des revenus des époux, très disparates, du fait que le paiement des impôts constitue une charge courante du ménage – dont le train de vie était très aisé –, de la durée et du caractère régulier des versements et de l’absence de discussion à ce sujet (cf. infra consid. 6.3), on peut retenir qu’en s’acquittant des impôts, parce qu'elle était codébitrice solidaire envers l’administration fiscale, l’appelante a contribué à l’entretien de la famille. Il s’ensuit qu’en principe, les rapports de droit entre les parties au litige doivent être réglés par dispositions du droit de la famille, de telle manière qu’il soit tenu compte de circonstances particulières dans les rapports entre époux. On relèvera que le Tribunal de première instance avait procédé au même raisonnement. Il n’est pas établi que l’appelante aurait financé le train de vie du ménage au-delà de ce qui avait été convenu entre les parties. En effet, hormis la question des impôts, l’appelante n’a rien allégué au sujet de la prise en charge des autres frais du ménage par l’intimé ni elle-même dans ses écritures de première instance. Elle se limite à soutenir en appel que l’intimé n’aurait jamais affecté les éléments de son patrimoine soumis à l’impôt à l’entretien de la famille. De même, elle se prévaut de ce que l’intimé aurait revendiqué des meubles dans le cadre de la procédure de divorce, ce qui démontrerait qu’il n’avait pas contribué à l’entretien du ménage mais s’était constitué un patrimoine propre. Or ces derniers éléments ne sont pas recevables au stade de la procédure d’appel (cf. art. 317 CPC) et sont insuffisants à démontrer que l’appelante aurait contribué aux charges du ménage dans une mesure notablement supérieure à ce qu’elle devait en payant l’entier des impôts. L’appelante échoue dès lors dans la preuve de son droit au versement d’une indemnité fondée sur l’art. 163 CC, respectivement sur l’art. 165 al. 2 CC.</w:t>
      </w:r>
    </w:p>
    <w:p>
      <w:r>
        <w:rPr>
          <w:b/>
        </w:rPr>
        <w:t>E. 6.1</w:t>
      </w:r>
    </w:p>
    <w:p>
      <w:r>
        <w:t>S’agissant du contrat de prêt, l’appelante rappelle que l'existence d'un contrat de prêt entre époux peut ressortir de faits ou d'actes concluants, tels que la tenue d'une comptabilité, même sommaire, des avances faites ou l'accord sur le versement d'intérêts. La preuve d'un tel contrat peut être rapportée par d'autres moyens, un contrat écrit faisant souvent défaut. Elle souligne également que la donation entre époux ne se présume pas. Elle se réfère à ses déclarations selon lesquelles l'intimé renvoyait systématiquement le remboursement en prétendant ne pas disposer des moyens utiles. Il aurait ainsi été prouvé, selon l'appelante, qu'il avait été convenu entre les parties que l'intimé rembourserait le montant avancé, ce qui n'a cependant pas été le cas à ce jour. L’appelante soutient qu’on ne pouvait pas déduire de la fortune dont elle disposait qu'elle n'entendait pas se faire rembourser. Elle n'avait au demeurant pas d'autres choix que de s'acquitter de la dette d'impôt du couple dès lors qu'elle était solidairement responsable de ce montant et s'exposait à des poursuites en cas de non-paiement. Quant au fait que les parties avaient conclu un contrat de séparation de biens, on ne pourrait rien en déduire, si ce n'est que chaque partie entendait avoir la maîtrise de ses biens et revenus et être responsable de ses dettes, y compris d’impôt.</w:t>
      </w:r>
    </w:p>
    <w:p>
      <w:r>
        <w:rPr>
          <w:b/>
        </w:rPr>
        <w:t>E. 6.2.1</w:t>
      </w:r>
    </w:p>
    <w:p>
      <w:r>
        <w:t>Aux termes de l'art. 312 CO, le prêt de consommation est un contrat par lequel le prêteur s'oblige à transférer la propriété d'une somme d'argent ou d'autres choses fongibles à l'emprunteur, à charge par ce dernier de lui en rendre autant de même espèce et qualité. Le prêt de consommation est un contrat consensuel. L'obligation de restitution de l'emprunteur est un élément essentiel du contrat. Elle ne résulte pas du seul paiement fait par le prêteur, mais de la promesse de restitution qu'implique le contrat de prêt. La remise de l'argent par le prêteur n'est qu'une condition de l'obligation de restituer (ATF 83 II 209 consid. 2, rés. in JdT 1958 I 177, SJ 1958 p. 417 ; TF 5A_626/2017 du 28 juin 2017 consid. 3.3.1 ; TF 4A_639/2015 du 28 juillet 2016 consid. 5.1 ; TF 4A_12/2013 du 27 juin 2013 consid. 2.1). Celui qui agit en restitution d'un prêt doit donc non seulement apporter la preuve qu'il a remis les fonds, mais encore qu'un contrat de prêt de consommation a été conclu. En d'autres termes, il doit prouver l'existence d'un accord des parties sur une obligation de restitution à la charge de l'emprunteur. Dire si une telle obligation a été convenue et, partant, un contrat de prêt, suppose une appréciation des preuves et le fardeau de la preuve incombe au demandeur (art. 8 CC ; ATF 144 III 93 consid. 5.1.1 ; ATF 83 Il 209 consid. 2 ; TF 5A_626/2017 du 25 juin 2018 consid. 3.3.1 ; TF 4A_639 /2015 du 28 juillet 2016 ; TF 4A_12/2013 du 27 juin 2013 consid. 2.1). En effet, quand bien même une donation ne se présume pas, le demandeur n'est au bénéfice d'aucune présomption légale et doit apporter la preuve que l'obligation de remboursement a été convenue (TF 5A_626/2017 du 25 juin 2018 consid. 3.3.1 et les réf. citées). Dans certaines circonstances exceptionnelles, le seul fait de recevoir une somme d'argent peut toutefois constituer un élément suffisant pour admettre l'existence d'une obligation de restituer et, partant, d'un contrat de prêt (présomption de fait). Il doit cependant en résulter clairement que la remise de la somme ne peut s'expliquer raisonnablement que par la conclusion d'un prêt (ATF 144 III 93 consid. 5.1.1 ; ATF 83 II 209 consid. 2 ; TF 5A_626/2017 du 25 juin 2018 consid. 3.3.1). Il ne s'agit en effet pas d'une présomption de droit ayant pour effet de renverser le fardeau de la preuve, mais de circonstances constituant des indices, dont le juge du fait, dans le cadre de l'appréciation des preuves, pourra selon les cas déduire l'existence d'un contrat de prêt. Même en pareil cas, du moment que le fardeau de la preuve incombe au demandeur, ces indices doivent constituer une preuve complète : il faut qu'aux yeux du juge la remise des fonds ne puisse s'expliquer raisonnablement que par l'hypothèse d'un prêt (ATF 83 II 209 ; CACI 10 septembre 2013/462 consid. 3.3 ; SJ 1961 p. 413 ; SJ 1960 p. 312 ; SJ 1958 p. 417 ; Engel, Contrats de droit suisse, 2 e éd., 2000, p. 268).</w:t>
      </w:r>
    </w:p>
    <w:p>
      <w:r>
        <w:rPr>
          <w:b/>
        </w:rPr>
        <w:t>E. 6.2.2</w:t>
      </w:r>
    </w:p>
    <w:p>
      <w:r>
        <w:t>Comme pour tout contrat, la conclusion d'un contrat de prêt de consommation suppose un accord entre les parties, soit une manifestation de volontés réciproques et concordantes (art. 1 CO) ; cet accord peut être exprès ou tacite, la loi n'exigeant aucune forme spéciale (art. 11 CO ; Tercier/Bieri/Carron, Les contrats spéciaux, 5 e éd., 2016, n. 2515, p. 338). Un lien contractuel suppose un consentement réel ou découlant de la loi et, du côté de l'obligé, une volonté juridique expresse ou déclarée, selon le principe de la confiance. Si une telle manifestation de volonté fait défaut, il n'y a juridiquement pas de rapport d'obligation (Tercier/ Pichonnaz, Le droit des obligations, 5 e éd., 2012, n. 179, p. 47). Les parties sont liées dès l'instant où elles se sont mises d'accord sur l'ensemble des points objectivement et subjectivement essentiels (art. 2 al. 1 CO). Le juge doit tout d'abord mettre à jour la réelle et commune volonté des parties, le cas échéant empiriquement, sur la base d'indices, sans s'arrêter aux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(ATF 144 III 93 consid. 5.2.2 ; ATF 142 III 239 consid. 5.2.1 ; TF 4A_506/2019 du 30 octobre 2019 consid. 2.1 ; TF 4A_65/2012 du 21 mai 2012 consid. 10.2 et les réf. citées). Si cette interprétation ne s'avère pas concluante, le juge devra rechercher, en appliquant le principe de la confiance, le sens que les parties pouvaient et devaient donner, selon les règles de la bonne foi, à leurs manifestations de volonté en fonction de l'ensemble des circonstances (ATF 144 III 43 consid. 3.3 ; ATF 142 III 239 consid. 5.2.1 ; ATF 140 III 134 consid. 3.2). Cette interprétation, dite objective, qui relève du droit, s'effectuera non seulement d'après le texte et le contexte des déclarations, mais également sur le vu des circonstances qui les ont précédées et accompagnées (ATF 142 III 239 consid. 5.2.1 : ATF 131 III 377 consid. 4.2.1), à l'exclusion des circonstances postérieures (ATF 144 III 43 consid. 3.3 ; ATF 142 III 239 consid. 5.2.1 ; ATF 133 III 61 consid. 2.2.1).</w:t>
      </w:r>
    </w:p>
    <w:p>
      <w:r>
        <w:rPr>
          <w:b/>
        </w:rPr>
        <w:t>E. 6.3</w:t>
      </w:r>
    </w:p>
    <w:p>
      <w:r>
        <w:t>En l’espèce, force est de constater que l’appelante échoue à démontrer l’existence d’un contrat de prêt. Elle se borne à reprendre ses arguments de première instance, sans exposer en quoi les premiers juges auraient erré. Cela étant, conformément aux principes exposés ci-dessus, le fait que la donation ne saurait être présumée n'a pas pour effet de dispenser l'appelante de prouver l'existence d'un contrat de prêt entre époux, ce qu'elle ne fait pas. Si l'appelante rappelle que l'existence d'un contrat de prêt peut ressortir d'actes concluants comme la tenue d'une comptabilité, des avances faites ou l'accord sur le versement d'intérêts, elle n'offre aucune preuve tendant à démontrer que de tels actes concluants auraient eu lieu. On rappellera que, comme relevé à juste titre par les premiers juges, les parties n’avaient pas discuté de la question du remboursement par l’intimé des dettes fiscales du couple. L’appelante a en outre précisé qu’il n’y avait jamais eu aucun écrit à ce sujet, ni de comptabilité entre eux. La preuve de l’existence d’un tel contrat aurait toutefois pu être rapportée par d'autres moyens, soit un début de remboursement ou n'importe quel document à même d'attester du fait que les parties avaient convenu que l'appelante ne supporterait pas seule la charge fiscale du couple et qu'elle entendait se faire rembourser le paiement de la part afférant à l'intimé pour les années 2002 à 2011. L'appelante se contente de s'appuyer sur ses propres déclarations selon lesquelles l'intimé renvoyait systématiquement le remboursement en prétendant ne pas disposer des moyens utiles, ce qui n'est manifestement pas suffisant s'agissant de montants conséquents qui auraient été avancés régulièrement par l'appelante, pendant de nombreuses années. On relèvera encore que, si un accord avait été passé, même oralement, entre les parties, s'agissant du fait que l'intimé devait assumer seul sa part d'impôt et par voie de conséquence la rembourser à son épouse, alors l'exercice consistant à calculer la part de l'impôt qui devait lui être imputé aurait été fait bien avant 2012, date à laquelle U.________ semble avoir reçu un tel mandat. Les parties se sont mariées en 1995 après avoir conclu un contrat de séparation de biens selon lequel chaque époux gardait l'administration, la jouissance et la disposition de ses biens. Contrairement à ce qu’ont retenu les premiers juges, on ne saurait déduire de l'existence-même de ce contrat que si les parties avaient voulu conclure également un contrat de prêt portant sur les montants versés par l'appelante au titre d’impôts, elles l'auraient nécessairement mis par écrit. Mais on ne saurait non plus en déduire, comme le soutient l'appelante, que les parties souhaitaient que chaque partie soit responsable de ses dettes en ce qui concerne les impôts. Il s’ensuit que, comme retenu par les premiers juges, au vu de la fréquence et de l’importance des montants versés à l’administration fiscale par l’appelante durant la vie commune et de la situation financière et matrimoniale du couple, l’intimé ne pouvait pas et ne devait pas, selon le principe de la bonne foi, comprendre que les sommes payées par l’appelante au titre de sa part d’impôt durant une dizaine d’année devaient être restituées. Par conséquent, l’existence d’un contrat de prêt doit être niée, faute de toute preuve en ce sens et après interprétation objective, l’interprétation subjective n’aboutissant pas en l’absence de manifestation de volontés concordantes des parties.</w:t>
      </w:r>
    </w:p>
    <w:p>
      <w:r>
        <w:rPr>
          <w:b/>
        </w:rPr>
        <w:t>E. 7.1</w:t>
      </w:r>
    </w:p>
    <w:p>
      <w:r>
        <w:t>Au vu de ce qui précède, l’appel doit être rejeté selon le mode procédural de l’art. 312 al. 1 in fine CPC et le jugement entrepris confirmé.</w:t>
      </w:r>
    </w:p>
    <w:p>
      <w:r>
        <w:rPr>
          <w:b/>
        </w:rPr>
        <w:t>E. 7.2</w:t>
      </w:r>
    </w:p>
    <w:p>
      <w:r>
        <w:t>Les frais judiciaires de deuxième instance, arrêtés à 29'000 fr. (cf. art. 62 TFJC [tarif des frais judiciaires civils du 28 septembre 2010 ; BLV 270.11.5]), seront mis à la charge de l’appelante, qui succombe (art. 106 al. 1 CPC). L’intimé n’ayant pas été invité à se déterminer, il n’y a pas matière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