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993 vom 29. Oktober 2018</w:t>
      </w:r>
    </w:p>
    <w:p>
      <w:r>
        <w:t>VD Tribunal cantonal, 2018-10-29, FR</w:t>
      </w:r>
    </w:p>
    <w:p>
      <w:r>
        <w:rPr>
          <w:b/>
        </w:rPr>
        <w:t xml:space="preserve">Quelle: </w:t>
      </w:r>
      <w:r>
        <w:t>https://mcp.opencaselaw.ch/entscheid/vd_findinfo_HC___2018___993</w:t>
      </w:r>
    </w:p>
    <w:p>
      <w:r>
        <w:t>FR: VD_FINDINFO HC / 2018 / 993 du 29 octobre 2018</w:t>
      </w:r>
    </w:p>
    <w:p>
      <w:r>
        <w:t>IT: VD_FINDINFO HC / 2018 / 993 del 29 ottobre 2018</w:t>
      </w:r>
    </w:p>
    <w:p>
      <w:pPr>
        <w:pStyle w:val="Heading2"/>
      </w:pPr>
      <w:r>
        <w:t>Regeste</w:t>
      </w:r>
    </w:p>
    <w:p>
      <w:r>
        <w:t>ACTION EN MODIFICATION, MESURE PROVISIONNELLE, EFFETS ACCESSOIRES DU DIVORCE, JUGEMENT DE DIVORCE, OBLIGATION D'ENTRETIEN, REVENU HYPOTHÉTIQUE, ATTEINTE À LA SANTÉ | 286 al. 2 CC, 261 al. 1 CPC (CH)</w:t>
      </w:r>
    </w:p>
    <w:p>
      <w:pPr>
        <w:pStyle w:val="Heading2"/>
      </w:pPr>
      <w:r>
        <w:t>Erwägungen</w:t>
      </w:r>
    </w:p>
    <w:p>
      <w:r>
        <w:rPr>
          <w:b/>
        </w:rPr>
        <w:t>E. 1.1</w:t>
      </w:r>
    </w:p>
    <w:p>
      <w:r>
        <w:t>L’appel est recevable contre les ordonnances de mesures provisionnelles (art. 308 al. 1 let. b CPC [ Code de procédure civile du 19 décembre 2008 ; RS 272] ),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 RSV 173.01]).</w:t>
      </w:r>
    </w:p>
    <w:p>
      <w:r>
        <w:rPr>
          <w:b/>
        </w:rPr>
        <w:t>E. 1.2</w:t>
      </w:r>
    </w:p>
    <w:p>
      <w:r>
        <w:t>En l'espèce, formé en temps utile par une partie qui y a intérêt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 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Aux termes de l'art. 271 let. a CPC, applicable par renvoi de l’art. 276 al. 1 CPC, les mesures provisionnelles sont ordonnées à la suite d'une procédure sommaire.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la maxime inquisitoire illimitée (art. 296 al. 1 CPC) et, en sus, la maxime d'office (art. 296 al. 2 CPC) sont applicables.</w:t>
      </w:r>
    </w:p>
    <w:p>
      <w:r>
        <w:rPr>
          <w:b/>
        </w:rPr>
        <w:t>E. 2.3</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TF 5A_756/2017 du 6 novembre 2017 et les références). Lorsque le procès est soumis à la maxime inquisitoire illimitée, notamment lorsqu'est en jeu une question relative à un enfant mineur (art. 296 al. 1 CPC),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 TF 5A_876/2014 du 3 juin 2015 consid. 4.3.3). Dans cette mesure, il y a lieu d'admettre que, lorsque la procédure est soumise à la maxime inquisitoire illimitée, les parties peuvent présenter des nova en appel même si les conditions de l'art. 317 al. 1 CPC ne sont pas réunies (TF 5A_788/2017 du 2 juillet 2018 destiné à la publication, consid. 4.2.1). En l’espèce, l’ensemble des pièces produites par l’appelant sont recevables dans la mesure où le litige traite d’une contribution d’entretien en faveur d’un enfant mineur. L’état de fait a par conséquent été modifié par l’ajout des différents certificats médicaux produits, dont il sera tenu compte dans la mesure de leur pertinence (cf. consid. 4.3 infra).</w:t>
      </w:r>
    </w:p>
    <w:p>
      <w:r>
        <w:rPr>
          <w:b/>
        </w:rPr>
        <w:t>E. 3.1</w:t>
      </w:r>
    </w:p>
    <w:p>
      <w:r>
        <w:t>L’art. 129 al. 1 CC règle les modifications ultérieures de la contribution d’entretien par le juge. Selon les circonstances du cas, si la situation du débiteur ou du créancier change notablement et durablement, la contribution pourra donc être diminuée, suspendue ou supprimée (al. 1), adaptée au renchérissement (al. 2) ou augmentée (al. 3). Conformément à l’art. 286 al. 2 CC, applicable par renvoi de l’art. 134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(TF 5A_769/2009 du 5 mai 2010 consid. 2.1.2). Cette modification ou suppression n’est toutefois possible que si les circonstances ayant prévalu lors de la fixation de la contribution ont subi un changement notable et durable qui n’a pas été pris en compte dans le jugement de divorce (TF 5A_324/2009 du 25 mars 2010 consid. 2.1 et les arrêts cités). La procédure de modification ne doit pas viser à réexaminer ou corriger le jugement de divorce, mais à l'adapter aux circonstances nouvelles survenues chez les parents ou chez l'enfant (ATF 131 III 189 consid. 2.7.4 ; ATF 120 II 177 consid. 3a). Ainsi, le juge de la modification sera lié par les faits constatés à l’époque et devra prendre ces faits comme point de départ de la comparaison, même si ceux-ci ne correspondaient pas, au moment de la convention ou du précédent jugement, à la réalité (TF 5C.27/2004 du 30 avril 2004 consid. 3.4 ; ATF 117 II 359 consid. 6).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5A_260/2016 du 14 octobre 2016 consid. 2.1.1 ; TF 5A_224/2016 du 13 juin 2016 consid. 3.1).</w:t>
      </w:r>
    </w:p>
    <w:p>
      <w:r>
        <w:rPr>
          <w:b/>
        </w:rPr>
        <w:t>E. 3.2</w:t>
      </w:r>
    </w:p>
    <w:p>
      <w:r>
        <w:t>A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 fait est rendu vraisemblable si le juge, en se basant sur des éléments objectifs, a l’impression que le fait invoqué s’est produit, sans pour autant devoir exclure la possibilité qu’il ait pu se dérouler autrement (Bohnet, CPC commenté, 2011, n. 4 ad art. 261 CPC et les réf. citées). Le débiteur d'entretien, demandeur au procès en modification, qui requiert la réduction ou la suppression de la contribution d'entretien à titre provisionnel doit rendre vraisemblable que le maintien de la contribution d'entretien pendant la durée du procès en modification risque de lui causer un préjudice difficilement réparable. Ce préjudice doit être mis en balance avec le préjudice que subirait le créancier d'entretien, défendeur au procès en modification, en cas d'octroi des mesures provisionnelles sollicitées (Bohnet, CPC commenté, op. cit., n. 14 et 17 ad art. 261 CPC). Comme pour toutes les mesures provisionnelles, le juge doit pondérer le droit présumé du requérant à la mesure conservatoire avec les conséquences irréparables que celle-ci peut entraîner pour l'intimé (cf. ATF 131 III 473 consid. 2.3 ; Juge délégué CACI 30 septembre 2016/540 ; Juge délégué CACI</w:t>
      </w:r>
    </w:p>
    <w:p>
      <w:r>
        <w:rPr>
          <w:b/>
        </w:rPr>
        <w:t>E. 7</w:t>
      </w:r>
    </w:p>
    <w:p>
      <w:r>
        <w:t>août 2013/391 ; Juge délégué CACI 6 juillet 2012/316). 4. 4.1 L’appelant fait grief au premier juge de ne pas avoir mentionné dans l’ordonnance le certificat médical établi le 14 mai 2018 attestant d’une incapacité de travail pour la période du 1 er octobre 2014 au 31 juillet 2018. Le magistrat aurait dû selon lui prendre en compte ce certificat médical et non pas uniquement se baser sur la décision de l’Office AI du 27 janvier 2017 qui aurait examiné son cas dans le cadre restreint de la détermination du taux d’invalidité. Il ajoute que la décision de l’Office AI n’aurait pas pris en compte le fait que sa situation médicale avait nécessité la pose d’un défibrillateur, limitant de façon significative les activités qu’il pourrait effectuer. Il conteste également le fait de lui avoir imputé un revenu hypothétique. A ce titre, il fait grief au premier juge de s’être uniquement basé sur la décision de l’Office AI pour déterminer qu’il était apte à travailler et soutient que le magistrat n’aurait pas énumérer de façon précise les activités qu’il pourrait effectivement réaliser. 4.2 4.2.1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Les principes relatifs au revenu hypothétique valent tant pour le débiteur que pour le créancier d'entretien (TF 5A_838/2009 du 6 mai 2010, in : FamPra.ch 2010 n. 45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(ci-après : OFS), ou sur d'autres sources (conventions collectives de travail par exemple; ATF 137 III 118 consid. 3.2, JdT 2011 II 486),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Lorsque le tribunal a imputé à une partie un revenu hypothétique, mais que la personne concernée ne trouve pas de place correspondante, elle peut obtenir une adaptation de la contribution, lorsqu'elle rend vraisemblable des recherches d'emploi sérieuses et expose sur la base des expériences réalisées, les raisons pour lesquelles les expectatives du tribunal ne se sont pas réalisées (TF 5A_928/2016 du 22 juin 2017 consid. 3.3). En revanche, le tribunal n'aura pas à revoir les facteurs déjà pris en compte dans la décision initiale (âge, répartition des rôles pendant le mariage, chômage, expérience professionnelle et situation du marché du travail) (TF 5A_928/2016 du 22 juin 2017 consid. 5.2). Même en cas de changement non volontaire d'emploi, si le débirentier se contente sciemment d'une activité lucrative insuffisamment rémunérée, il doit se laisser imputer le revenu qu'il serait, eu égard aux circonstances du cas d'espèce, capable de réaliser en mettant à profit sa pleine capacité de gain (TF 5A_224/2016 du 13 juin 2016 consid. 3.3 ; TF 5A_59/2016 du 1 er juin 2016 consid. 3.1, FamPra.ch 2016 p. 1059 ; TF 5A_782/2016 du 31 mai 2017 consid. 5.3). Il appartient à l’époux débirentier de démontrer avoir entrepris tout ce qui était en son pouvoir pour mettre pleinement à profit sa capacité de gain et pouvoir ainsi continuer à assumer son obligation d'entretien (TF 5A_782/2016 du 31 mai 2017 consid. 5.4 : cf. ATF 143 III 233 consid. 3). 4.2.2 Le fait qu'un débirentier ou un crédirentier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ou crédirentier peut notamment se voir imputer un revenu basé sur une profession qu'il n'aurait pas eu à accepter selon les règles prévalant en matière d'assurance sociale (ATF 137 III 118 consid. 3.1, JdT 2011 II 486 ; TF 5A_588/2010 du 12 janvier 2011 consid. 2.3 ; TF 5A_587/2013 du 26 novembre 2013 consid. 6.1.1 ; TF 5A_634/2013 du 12 mars 2014 consid. 3.1.1). 4.3 4.3.1 En l’espèce, le certificat médical du 14 mai 2018 produit par l’appelant est établi par un médecin généraliste et fait uniquement état d’une incapacité de travail. Quant au certificat médical du 20 juillet 2018, établi par un médecin cardiologue, il pose le diagnostic de cardiomyopathie sévère avec cicatrices cardiaques et expose que l’appelant pourrait reprendre une activité professionnelle au moins partielle dans un premier temps avec une adaptation de son poste vu le port de son défibrillateur, ce qui exclut les activités à proximité de champs magnétiques, de la soudure à l’arc et des activités à risque comme le travail en altitude ou la conduite professionnelle. Partant, ce certificat étant plus précis et plus complet, sa force probante est plus importante que celle du certificat du 14 mai 2018 qui doit être fortement relativisée, dès lors qu’il est établi par un médecin généraliste et non par un spécialiste (TF 2C_908/2015 du 28 décembre 2015 consid. 4.2), qu’il a un effet rétroactif d’une durée de plus de dix-huit mois alors que la durée de la rétroactivité ne devrait pas excéder quelques jours, en général 3 à 4 jours, voire tout au plus une semaine selon la pathologie (Subilia/Duc , Droit du travail , Lausanne, 2010, p. 591 ; JAR 2015 p. 447 consid. 4.1.4) et qu’il porte sur une durée qui semble indéterminée (TAF A-6410/2014 du 1 er septembre 2015 consid. 4.3.4.2). C’est donc à juste titre que le premier juge n’a pas tenu compte du certificat médical du 14 mai 2018 qui est moins précis et contredit par un certificat médical plus récent. 4.3.2 S’agissant de la décision de l’Office AI du 27 janvier 2017, le premier juge a considéré que l’appelant n’avait pas produit d’autres pièces permettant d’établir, au stade des mesures provisionnelles, qu’il serait actuellement dans l’incapacité d’exercer l’activité adaptée préconisée par l’AI. En se basant sur cette décision, il a considéré qu’il était admissible de considérer que l’appelant pouvait gagner plus et partant lui imputer un revenu hypothétique. Ces considérations ne prêtent pas le flanc à la critique. Il convient de préciser que la décision de l’Office AI n’a pas fait l’objet d’un recours, de sorte que son contenu a été accepté par l’appelant. Par ailleurs, ce dernier n’établit pas que l’Office AI n’aurait pas pris en compte la pose de son défibrillateur cardiaque, celui-ci ayant été posé en 2014, on ne distingue pas les raisons pour lesquelles cet office n’en aurait pas tenu compte puisque les limitations dues à cet instrument doivent être significativement les mêmes pour l’ensemble du corps médical et connues de cet office. Par ailleurs, le seul fait que l’appelant bénéficie du RI n'empêche pas de retenir un revenu hypothétique. A cela s’ajoute que l’appelant n’a nullement rendu vraisemblable qu’il aurait entrepris des recherches d'emploi sérieuses. En faisant preuve de bonne volonté et en y consacrant les efforts que l’on peut raisonnablement exiger de lui, celui-ci apparaît concrètement en mesure d’exercer une activité lucrative dans la limite des restrictions posées par son médecin cardiologue, l’intéressé s’estimant lui-même apte au travail. 4.3.3 La décision de l’Office AI sur laquelle s’est basé le premier juge prévoyait qu’une capacité de travail de 100 % avec une baisse de rendement de 20 % pouvait raisonnablement être exigée de l’appelant dans une activité adaptée à son état de santé et respectant ses limitations fonctionnelles, soit une activité manuelle, simple, subalterne, sans travail en hauteur, sans conduite de véhicule et sans manipulations de charges de plus de 15 kg. Afin de déterminer le préjudice subi par l’assuré, cet office a comparé le revenu auquel il aurait pu prétendre avec le salaire de référence auquel peuvent prétendre les hommes effectuant des activités simples dans le secteur privé (production et services) selon l’enquête suisse sur la structure des salaires (ESS) en tenant compte d’une diminution de 20 % qu’il a arrêté à 53'375 fr. 15, soit 3'780 fr. nets par mois. La façon de procéder de l’Office AI est conforme à la pratique de la détermination d’un revenu hypothétique en droit de la famille dans la mesure où il s’est basé sur l’enquête suisse sur la structure des salaires. De plus, les offices d’assurances sociales sont rompus au calcul de la capacité de gain de leurs assurés et sont d’autant plus à mêmes de déterminer le revenu annuel théorique de l’appelant. Aussi, le raisonnement du premier juge consistant à imputer à l’appelant le salaire de 3'780 fr. qui correspond au salaire de référence des hommes effectuant des activités simples dans le secteur privé de la production et des services en tenant compte d’une baisse de rendement de 20 % peut être confirmé. Ce revenu se situe d’ailleurs en-dessous de la moyenne du salaire réalisable par un éboueurs ou une personne effectuant d’autres travaux non qualifiés de 38 ans sans aucune formation professionnelle dans la région lémanique selon le calculateur individuel de salaire (2014) de l’OFS (« Salarium »). Au vu de ce qui précède, il se justifie d’imputer à l’appelant, au stade des mesures provisionnelles, un revenu net hypothétique de 3'780 fr. par mois. 4.4 Les charges mensuelles de l’appelant ont été arrêtées par le premier juge de la manière suivante : - Minimum vital              1'200 fr. 00 - Loyer              1'350 fr. 00 - Frais liés au droit de visite 150 fr. 00 - Assurance-maladie              428 fr 80 - Frais de transports              150 fr. 00 Total 3'278 fr. 80 Le disponible de l’appelant est donc de 501 fr. 20. D.________ est âgée de presque neuf ans et le chiffre III de la convention sur les effets accessoires du divorce signée par les parties le 20 février 2014 et ratifiée par le premier juge prévoit que l’appelant contribuera à l’entretien de sa fille par le régulier versement de 600 fr. jusqu’à ses dix ans révolus. En l’espèce, au vu de ce qui précède, l’appelant n’est pas en mesure de contribuer à l’entretien de sa fille par le versement du montant prévu par la convention précitée, de sorte que ce montant doit être ramené à 500 fr. par mois. 5. 5.1 Il découle des considérants qui précèdent que l’appel doit être partiellement admis et l’ordonnance réformée en ce sens que l’appelant contribuera à l’entretien de sa fille, par le régulier versement, d’avance le premier de chaque mois, en mains de N.________, du montant de 500 fr., allocations familiales non comprises, dès le 1 er novembre 2018 jusqu’à droit connu sur la procédure au fond. L’appelant n’obtient que partiellement gain de cause dans la mesure où il a conclu à la suppression totale de la contribution d’entretien en faveur de sa fille depuis le 21 mars 2018. Il succombe pour l’essentiel de sorte qu’il se justifie de confirmer la répartition des frais judiciaires et des dépens de première instance. 5.2 Vu l’issue du litige, les frais judiciaires de deuxième instance, arrêtés à 950 fr. (art. 30 al. 1 par analogie, 63 al. 1 et 65 al. 2 TFJC [ tarif des frais judiciaires en matière civile du 28 septembre 2010 ; RSV 270.11.5] ), doivent être mis à la charge de l’appelant et seront provisoirement laissés à la charge de l’Etat (art. 122 al. 1 let. b CPC). 5.3 En sa qualité de conseil d'office, Me Sébastien Friant, conseil d’office de l’appelant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211.02.3]). Dans sa liste des opérations transmise lors de l’audience d’appel, Me Sébastien Friant a indiqué avoir consacré 9 heures et 30 minutes au dossier. Vu la nature du litige et les difficultés de la cause, ce nombre d’heures apparaît adéquat. Toutefois, il convient d’y déduire les heures consacrées en date du 16 août 2018 (1 heure et 35 minutes et une vacation), celles-ci ayant trait à la procédure de première instance et d’y ajouter 30 minutes – l’audience d’appel ayant duré 1 heure et 30 minutes et non 1 heure tel qu’indiqué. L’indemnité de Me Friant doit donc être arrêtée à 1’515 fr. (8 heures et 25 minutes), montant auquel s’ajoute le forfait de vacation par 120 fr. et les débours par 3 fr. ainsi que la TVA sur le tout par 126 fr. 15, soit une indemnité totale de 1'764 fr. 15, montant arrondi à 1'765 francs. Le bénéficiaire de l'assistance judiciaire est, dans la mesure de l'art. 123 CPC, tenu au remboursement des frais judiciaires et de l'indemnité au conseil d'office mis à la charge de l'Etat. 5.4 Vu l'issue du litige, il y a en outre lieu de compenser les dépens de deuxième instance (art. 95 al. 3, 106 al. 2 CPC). Par ces motifs, le juge délégué de la Cour d’appel civile prononce : I. L’appel est partiellement admis. II. L’ordonnance est réformée aux chiffres I et Ibis comme il suit : I. admet partiellement la requête de mesures provisionnelles déposée par C.________ le 21 mars 2018 à l’encontre de N.________ et D.________ ; Ibis. dit que C.________ contribuera à l’entretien de sa fille D.________, née le [...] 2009, par le régulier versement, d’avance le premier de chaque mois, en mains de N.________, du montant de 500 fr. (cinq cents francs), allocations familiales non comprises, dès le 1 er novembre 2018 jusqu’à droit connu sur la procédure au fond. L’ordonnance est confirmée pour le surplus. III. Les frais judiciaires de deuxième instance, arrêtés à 950 fr. (neuf cent cinquante francs) pour l’appelant C.________, sont provisoirement laissés à la charge de l’Etat. IV. L’indemnité d’office de Me Sébastien Friant, conseil de l’appelant, est arrêtée à 1'765 fr. (mille sept cent soixante-cinq francs), TVA comprise. V. Le bénéficiaire de l’assistance judiciaire est, dans la mesure de l’art. 123 CPC, tenu au remboursement des frais judiciaires et de l’indemnité au conseil d’office mis à la charge de l’Etat. VI. L’arrêt est exécutoire. Le juge délégué : La greffière : Du Le présent arrêt, dont la rédaction a été approuvée à huis clos, est notifié en expédition complète à : ‑ Me Sébastien Friant (pour C.________), ‑ Mme N.________,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