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968 vom 12. Oktober 2018</w:t>
      </w:r>
    </w:p>
    <w:p>
      <w:r>
        <w:t>VD Tribunal cantonal, 2018-10-12, FR</w:t>
      </w:r>
    </w:p>
    <w:p>
      <w:r>
        <w:rPr>
          <w:b/>
        </w:rPr>
        <w:t xml:space="preserve">Quelle: </w:t>
      </w:r>
      <w:r>
        <w:t>https://mcp.opencaselaw.ch/entscheid/vd_findinfo_HC___2018___968</w:t>
      </w:r>
    </w:p>
    <w:p>
      <w:r>
        <w:t>FR: VD_FINDINFO HC / 2018 / 968 du 12 octobre 2018</w:t>
      </w:r>
    </w:p>
    <w:p>
      <w:r>
        <w:t>IT: VD_FINDINFO HC / 2018 / 968 del 12 ottobre 2018</w:t>
      </w:r>
    </w:p>
    <w:p>
      <w:pPr>
        <w:pStyle w:val="Heading2"/>
      </w:pPr>
      <w:r>
        <w:t>Regeste</w:t>
      </w:r>
    </w:p>
    <w:p>
      <w:r>
        <w:t>DROIT D'ÊTRE ENTENDU, DROIT D'OBTENIR UNE DÉCISION, FORMALISME EXCESSIF, INTERDICTION DE L'ARBITRAIRE, PROCÈS ÉQUITABLE, REFUS DE STATUER, RETARD INJUSTIFIÉ, MOYEN DE DROIT CANTONAL | 29 al. 1 Cst., 265 al. 2 CPC (CH), 319 let. c CPC (CH)</w:t>
      </w:r>
    </w:p>
    <w:p>
      <w:pPr>
        <w:pStyle w:val="Heading2"/>
      </w:pPr>
      <w:r>
        <w:t>Erwägungen</w:t>
      </w:r>
    </w:p>
    <w:p>
      <w:r>
        <w:rPr>
          <w:b/>
        </w:rPr>
        <w:t>E. 1.1</w:t>
      </w:r>
    </w:p>
    <w:p>
      <w:r>
        <w:t>Aux termes de l’art. 319 let. c CPC, le recours est recevable contre le retard injustifié du tribunal. Le recours pour retard injustifié, soit pour absence de décision constitutive d'un déni de justice formel (CREC 16 avril 2012/135), peut être formé en tout temps (art. 321 al. 4 CPC). Il est de la compétence de la Chambre des recours civile du Tribunal cantonal (art. 73 al. 1 LOJV [Loi d'organisation judiciaire du 12 décembre 1979 ; RSV 173.01]).</w:t>
      </w:r>
    </w:p>
    <w:p>
      <w:r>
        <w:rPr>
          <w:b/>
        </w:rPr>
        <w:t>E. 1.2</w:t>
      </w:r>
    </w:p>
    <w:p>
      <w:r>
        <w:t>En l'espèce, la recourante reproche au premier juge un retard injustifié, de sorte que son recours est recevable.</w:t>
      </w:r>
    </w:p>
    <w:p>
      <w:r>
        <w:rPr>
          <w:b/>
        </w:rPr>
        <w:t>E. 1.3</w:t>
      </w:r>
    </w:p>
    <w:p>
      <w:r>
        <w:t>et les références citées ; Tappy, CPC commenté, Bâle 2011, n. 16 ad art. 273 CPC) dès lors que la procédure prévue à l'art. 265 al. 2 CPC garantit un réexamen rapide de la décision et constitue ainsi la voie de droit contre cette décision, le Tribunal fédéral ayant précisé que l'obtention d'une décision de mesures provisionnelles était en principe plus rapide que le déroulement d'une procédure de deuxième instance (cf. ATF 137 III 417 consid. 1.2 et les références citées). Concernant la fixation d'une audience de mesures provisionnelles, la Chambre de céans a notamment jugé que l'écoulement de huit semaines entre l'octroi de mesures superprovisionnelles et la tenue d'une telle audience était excessif, puisque la loi prévoit que le juge doit statuer « sans délai » (CREC 12 décembre 2016/496 consid. 3.2 ; CREC 17 janvier 2012/9 et les références citées). Toutefois, ce délai ne constitue pas une limite absolue, les circonstances de l’espèce étant décisives (CREC 7 octobre 2016/403 ; CREC 17 février 2014/63).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ainsi que le comportement de ce dernier et celui des autorités compétentes (ATF 130 I 312 consid. 5.1 et 5.2 ; TF 5A_339/2016 du 27 janvier 2017 ; Corboz, op. cit., n. 10 ad art. 94 LTF, p. 1087 et la référence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 Donzallaz, op. cit., p. 1270 ; CREC 18 février 2011/1).</w:t>
      </w:r>
    </w:p>
    <w:p>
      <w:r>
        <w:rPr>
          <w:b/>
        </w:rPr>
        <w:t>E. 2</w:t>
      </w:r>
    </w:p>
    <w:p>
      <w:r>
        <w:t>Le recours peut être formé pour violation du droit et constatation manifestement inexacte des faits (art. 320 CPC). S'agissant de la violation du droit, l'autorité de recours dispose d'un plein pouvoir d'examen (Spühler, in : Basler Kommentar ZPO,2 e éd., Bâle 2013, n. 12 ad art. 319 CPC). Elle revoit librement les questions de droit soulevées par le recourant et peut substituer ses propres motifs à ceux de l'autorité précédente ou du recourant (Hohl, Procédure civile, tome Il, 2 e éd., Berne 2010, n. 2508).</w:t>
      </w:r>
    </w:p>
    <w:p>
      <w:r>
        <w:rPr>
          <w:b/>
        </w:rPr>
        <w:t>E. 3.1</w:t>
      </w:r>
    </w:p>
    <w:p>
      <w:r>
        <w:t>La recourante se plaint d’un déni de justice formel. Elle estime que la fixation de l’audience du 20 novembre 2018 huit semaines après la reddition de l’ordonnance de mesures superprovisionnelles est excessive et viole l’art. 265 al. 2 CPC.</w:t>
      </w:r>
    </w:p>
    <w:p>
      <w:r>
        <w:rPr>
          <w:b/>
        </w:rPr>
        <w:t>E. 3.2</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 notion de retard injustifié de l'art. 319 let. c CPC, qui couvre l'absence de décision constitutive de déni de justice (Freiburghaus/Afheldt, Kommentar zur Schweizerischen Zivilprozessordnung, Sutter-Somm/ Hasenböhler/Leuenberger Hrsg, 2 e éd., 2013, n. 17 ad art. 319 CPC, p. 2345), est la même qu'aux art. 94 et 100 al. 7 LTF (Loi sur le Tribunal fédéral du 17 juin 2005 ; RS 173.110) (Tappy, Les voies de droit du nouveau Code de procédure civile, JdT 2010 III 115, spéc. p. 153) qui posent comme critère le délai raisonnable au sens de l'art. 29 al. 1 Cst. (Corboz et al., Commentaire de la LTF, 2 e éd., Berne 2014, n. 10 ad art. 94 LTF, p. 1087). Lorsque des mesures superprovisionnelles sont accordées, le juge doit statuer « sans délai » une fois la partie adverse entendue (art. 265 al. 2 CPC). Le CPC ne prévoit ni appel ni recours contre les ordonnances de mesures superprovisionnelles (art. 265 al. 1 CPC ; ATF 137 III 417 consid.</w:t>
      </w:r>
    </w:p>
    <w:p>
      <w:r>
        <w:rPr>
          <w:b/>
        </w:rPr>
        <w:t>E. 3.3</w:t>
      </w:r>
    </w:p>
    <w:p>
      <w:r>
        <w:t>La recourante perd de vue qu’elle multiplie les décisions de justice par le dépôt incessant de conclusions prises sous forme superprovisionnelle. Il suffit à cet égard de constater qu’ensuite du dépôt de la première requête, une ordonnance de mesures superprovisionnelles a été rendue 24 heures plus tard et la tenue de l’audience destinée à trancher du mérite des conclusions provisionnelles a été fixée et tenue le 12 septembre 2018, soit dans un délai plus que raisonnable. Lors de cette audience, la recourante et l’intimé ont pris de nouvelles conclusions et requis en urgence du juge qu’il en tranche le mérite, ce qu’il a fait. Dans les circonstances d’espèce, la tenue de l’audience de mesures protectrices de l’union conjugale au 20 novembre 2018 ne constitue à l’évidence pas un déni de justice, ce d’autant plus que le magistrat a mis en œuvre une enquête sociale qui nécessite, par définition, quelques semaines afin que le SPJ puisse déposer un rapport sur les relations parents-enfants.</w:t>
      </w:r>
    </w:p>
    <w:p>
      <w:r>
        <w:rPr>
          <w:b/>
        </w:rPr>
        <w:t>E. 4</w:t>
      </w:r>
    </w:p>
    <w:p>
      <w:r>
        <w:t>En conclusion, le recours, manifestement infondé, doit être rejeté et la décision attaquée confirmée. Comme le recours était dépourvu de toute chance de succès, la requête d’assistance judiciaire doit être rejetée (art. 117 let. b CPC). Les frais judiciaires de deuxième instance, arrêtés à 200 fr. (art. 73 TFJC [Tarif des frais judiciaires en matière civile du 28 septembre 2010 ; RSV 270.11.5]), sont mis à la charge de la recourante, qui succombe (art.106 al. 1 CPC). Il n’y a pas lieu à l’allocation de dépens, dès lors que l’intimé n’a pas été invité à se déterminer. Par ces motifs, la Chambre des recours civile du Tribunal cantonal, en application de l'art. 322 al. 1 CPC, prononce : I. Le recours est rejeté. II. La requête d’assistance judiciaire est rejetée. III. Les frais judiciaires de deuxième instance, arrêtés à 200 fr. (deux cents francs), sont mis à la charge de la recourante Y.________. IV. L’arrêt est exécutoire. Le vice-président : Le greffier : Du L'arrêt qui précède est notifié en expédition complète, par l'envoi de photocopies, à : ‑ Me Elodie Fuentes (pour Y.________), ‑ Me Nicolas Bornand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