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939 vom 12. Oktober 2018</w:t>
      </w:r>
    </w:p>
    <w:p>
      <w:r>
        <w:t>VD Tribunal cantonal, 2018-10-12, FR</w:t>
      </w:r>
    </w:p>
    <w:p>
      <w:r>
        <w:rPr>
          <w:b/>
        </w:rPr>
        <w:t xml:space="preserve">Quelle: </w:t>
      </w:r>
      <w:r>
        <w:t>https://mcp.opencaselaw.ch/entscheid/vd_findinfo_HC___2018___939</w:t>
      </w:r>
    </w:p>
    <w:p>
      <w:r>
        <w:t>FR: VD_FINDINFO HC / 2018 / 939 du 12 octobre 2018</w:t>
      </w:r>
    </w:p>
    <w:p>
      <w:r>
        <w:t>IT: VD_FINDINFO HC / 2018 / 939 del 12 ottobre 2018</w:t>
      </w:r>
    </w:p>
    <w:p>
      <w:pPr>
        <w:pStyle w:val="Heading2"/>
      </w:pPr>
      <w:r>
        <w:t>Regeste</w:t>
      </w:r>
    </w:p>
    <w:p>
      <w:r>
        <w:t>OBLIGATION D'ENTRETIEN, MESURE PROVISIONNELLE | 176 al. 1 ch. 1 CC, 285 CC, 282 al. 2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Tappy, Les voies de droit du nouveau Code de procédure civile, JdT 2010 III 115, spéc. p. 121), dans les causes non patrimoniales ou dont la valeur litigieuse est supérieure à 10'000 fr. (art. 308 al. 2 CPC). Les ordonnances de mesures protectrices de l’union conjugale étant régies par la procédure sommaire (art. 271 let. a CPC), le délai pour l'introduction de l’appel est de dix jours (art. 314 al. 1 CPC). Un membre de la Cour d'appel civile statue comme juge unique (art. 84 al. 2 LOJV [loi d’organisation judiciaire du 12 décembre 1979 ; RSV 173.01]). En l’espèce, l’appel a été formé en temps utile par une partie qui a un intérêt digne de protection (art. 59 al.</w:t>
      </w:r>
    </w:p>
    <w:p>
      <w:r>
        <w:rPr>
          <w:b/>
        </w:rPr>
        <w:t>E. 1.2</w:t>
      </w:r>
    </w:p>
    <w:p>
      <w:r>
        <w:t>Lorsque l’appel a pour objet un jugement ou une ordonnance rendu en procédure sommaire, la voie de l’appel joint n’est pas ouverte (art. 314 al. 2 CPC). En l’espèce, la conclusion prise par G.________ (ci-après : l’intimée) à l’audience d’appel, et qui tendait à la réforme de l’ordonnance attaquée, contient un appel joint. L’ordonnance entreprise ayant été rendue en procédure sommaire, cette conclusion est irrecevable.</w:t>
      </w:r>
    </w:p>
    <w:p>
      <w:r>
        <w:rPr>
          <w:b/>
        </w:rPr>
        <w:t>E. 2</w:t>
      </w:r>
    </w:p>
    <w:p>
      <w:r>
        <w:t>ss ad art. 310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w:t>
      </w:r>
    </w:p>
    <w:p>
      <w:r>
        <w:rPr>
          <w:b/>
        </w:rPr>
        <w:t>E. 2.2</w:t>
      </w:r>
    </w:p>
    <w:p>
      <w:r>
        <w:t>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Cela étant, les pièces produites par R.________ sont recevables et il en sera tenu compte dans la mesure utile.</w:t>
      </w:r>
    </w:p>
    <w:p>
      <w:r>
        <w:rPr>
          <w:b/>
        </w:rPr>
        <w:t>E. 3.1</w:t>
      </w:r>
    </w:p>
    <w:p>
      <w:r>
        <w:t>R.________ (ci-après : l’appelant) reproche au premier juge d’avoir tenu compte des arriérés d’impôt de l’intimée, qui sont postérieurs à la séparation, pour établir son minimum vital. De son côté, l’intimée soutient que selon le Tribunal fédéral, les arriérés d’impôt devraient être pris en compte en présence de situations financières favorables. Elle se réfère aux arrêts TF 5A_819/2017 du 20 mars 2018 consid. 8.3.1, TF 5C.260/2003 du 17 février 2004 consid. 3 et à l’ATF 140 III 337 consid. 4.4. Selon l’intimée, cette question aurait également été traitée dans l’arrêt Juge déléguée CACI 18 décembre 2017/597.</w:t>
      </w:r>
    </w:p>
    <w:p>
      <w:r>
        <w:rPr>
          <w:b/>
        </w:rPr>
        <w:t>E. 3.2.1</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Ce principe s'applique aussi aux mesures protectrices de l'union conjugale et aux mesures provisionnelles (TF 5A_219/2014 du 26 juin 2014 consid. 4.2.1 ; TF 5A_508/2011 du 21 novembre 2011 consid. 4.2.5 ; TF 5A_511/2010 du 4 février 2011 consid. 2.2.3). En cas de situations financières très serrées, on ne prendra pas en compte les dettes arriérées, comme les dettes d'impôt, dans le minimum vital (ATF 140 III 337 consid. 4.4, JdT 2015 II 227), alors qu'elles pourront être prises en considération si la situation financière est favorable (TF 5A_876/2014 du 3 juin 2015 consid. 3.3). Tel ne pourra toutefois être le cas que d'acomptes effectivement payés en remboursement d'arriérés d'impôt remontant à la vie commune, dont les époux répondent solidairement (Juge délégué CACI 13 septembre 2011/248; Juge délégué CACI 13 octobre 2011/298 ; Juge déléguée CACI 5 juillet 2017/284 consid. 5.2.3.2). Les dettes contractées après la séparation ne doivent en principe pas être prises en compte, à l'exception des dettes nécessaires à l'obtention du revenu, tel le leasing raisonnable d'un véhicule nécessaire à l'exercice de la profession ou un prêt contracté pour l'achat d'un tel véhicule (Juge délégué CACI 26 octobre 2011/316 ; Juge délégué CACI 13 mars 2014/122).</w:t>
      </w:r>
    </w:p>
    <w:p>
      <w:r>
        <w:rPr>
          <w:b/>
        </w:rPr>
        <w:t>E. 3.3</w:t>
      </w:r>
    </w:p>
    <w:p>
      <w:r>
        <w:t>En l’espèce, c’est à tort que le premier juge a tenu compte de l’arriéré d’impôt de l’intimée pour établir son minimum vital, dès lors qu’il s’agit d’une dette postérieure à la fin de la vie commune, de laquelle les époux ne répondent pas solidairement et qui n’est pas nécessaire à l’acquisition du revenu. Contrairement à ce que soutient l’intimée, dans l’arrêt Juge déléguée CACI 18 décembre 2017/597 et dans l’arrêt TF 5C.260/2003 du 17 février 2004, les époux étaient solidairement débiteurs de l’arriéré d’impôt dont il était question, si bien qu’ils sont sans pertinence en l’espèce. Quant à l’arrêt TF 5A_819/2017 du 20 mars 2018, la critique de la recourante relative à la prise en compte de son arriéré d’impôt a été jugée irrecevable par le Tribunal fédéral (TF 5A_819/2017 du 20 mars 2018 consid. 8.3.2.2.2). S’agissant enfin de l’ATF 140 III 337, comme rappelé ci-avant, celui-ci se borne à rappeler la jurisprudence constante selon laquelle les impôts courants et échus ne doivent pas être pris en considération dans le minimum vital du droit des poursuites (ATF 140 III 337 consid. 4.4.4, JdT 2015 II 227). Par conséquent, le minimum vital de l’intimée doit être arrêté à 4'615 fr. 25 (6'115 fr. 25 – 1'500 fr.), si bien que compte tenu de son revenu de 7'389 fr., son budget présente un disponible de 2'773 fr. 75 (7'389 fr. – 4'616 fr. 25).</w:t>
      </w:r>
    </w:p>
    <w:p>
      <w:r>
        <w:rPr>
          <w:b/>
        </w:rPr>
        <w:t>E. 4.1</w:t>
      </w:r>
    </w:p>
    <w:p>
      <w:r>
        <w:t>L’intimée requiert que l’entier des coûts directs de l’enfant S.________ soit mis à la charge de l’appelant, dès lors qu’elle assume la garde de l’enfant prénommée.</w:t>
      </w:r>
    </w:p>
    <w:p>
      <w:r>
        <w:rPr>
          <w:b/>
        </w:rPr>
        <w:t>E. 4.2.1</w:t>
      </w:r>
    </w:p>
    <w:p>
      <w:r>
        <w:t>Aux termes de l’art. 282 al. 2 CPC, lorsque le recours porte sur la contribution d'entretien allouée au conjoint, la juridiction de recours peut également réexaminer les contributions d'entretien allouées aux enfants, même si elles ne font pas l'objet du recours. La règle de l’art. 282 al. 2 CPC est une émanation de la maxime d'office applicable en matière de contribution d'entretien pour les enfants (art. 296 al. 3 CPC) ; l'interdiction de la reformatio in pejus ne s'applique pas (TF 5A_524/2017 du</w:t>
      </w:r>
    </w:p>
    <w:p>
      <w:r>
        <w:rPr>
          <w:b/>
        </w:rPr>
        <w:t>E. 4.2.2</w:t>
      </w:r>
    </w:p>
    <w:p>
      <w:r>
        <w:t>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[Code civil suisse du 10 décembre 1907 ; RS 210]). Il n’y a pas de méthode spécifique pour le calcul, ni de priorisation des critères (Message concernant la révision du code civil suisse [Entretien de l’enfant] du 29 novembre 2013, FF 2014 p. 556).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[cité ci-après : Stoudmann, RMA 6/2016], spéc. pp. 443 ss ; Hausheer/Spycher, Handbuch des Unterhaltsrechts, 2 e éd., 2010, pp. 163 ss ; Bähler, Unterhaltsberechnungen – von der Methode zu den Franken, FamPra.ch 1/2015, pp. 322 ss). L’addition des coûts directs de l’enfant – éventuellement pondérés en fonction de la prise en charge effective de chaque parent – et de la contribution de prise en charge constituera le montant dû au titre de contribution d’entretien pour l’enfant (TF 5A_454/2017 du 17 mai 2018 consid. 7.1.2 et 7.1.3 et les réf. citées ; Juge délégué CACI 31 mai 2018/322 consid. 6.2 ; Juge délégué CACI 8 mars 2018/155 consid. 6.4.2 et 6.4.3 ; Juge délégué CACI 4 décembre 2017/555 consid. 7.2.2 ; Juge délégué CACI 28 mars 2017/128 consid. 3.1 et les réf. citées). Au final, si après paiement de la contribution d’entretien due pour les enfants mineurs, un disponible subsiste, celui-ci devra être réparti entre les conjoints (Stoudmann, RMA 6/2016, pp. 443 ss).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 386/2012 du 23 juillet 2012 consid. 4.2.1 et les réf. citées ; TF 5A_402/2010 du 10 septembre 2010). Il est également possible, dans certaines circonstances, d'exiger du parent gardien qu'il contribue à l'entretien de l'enfant, en sus des soins et de l'éducation, par des prestations en argent (ATF 120 II 285 consid. 3a/cc ; TF 5A_892/2013 du 29 juillet 2014 consid. 4.4.3 ; TF 5A_119/2017 du 30 août 2017 consid. 7.1).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w:t>
      </w:r>
    </w:p>
    <w:p>
      <w:r>
        <w:rPr>
          <w:b/>
        </w:rPr>
        <w:t>E. 4.2.3</w:t>
      </w:r>
    </w:p>
    <w:p>
      <w:r>
        <w:t>Selon la jurisprudence, le juge fixe les contributions d'entretien du droit de la famille en se fondant, en principe, sur le revenu effectif des parties.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 citées).</w:t>
      </w:r>
    </w:p>
    <w:p>
      <w:r>
        <w:rPr>
          <w:b/>
        </w:rPr>
        <w:t>E. 4.3.1</w:t>
      </w:r>
    </w:p>
    <w:p>
      <w:r>
        <w:t>En l’espèce, quand bien même l’appel ne porte pas sur le montant de la contribution d’entretien en faveur de l’enfant S.________, le Juge délégué est compétent pour revoir le calcul opéré par le premier juge (art. 282 al. 2 CPC ; cf. supra consid. 4.2.1). Il y a tout d’abord lieu d’arrêter le revenu de l’appelant, en tenant compte du revenu moyen effectivement perçu depuis le mois de mars 2018, soit depuis que l’appelant est au chômage, en retenant un revenu hypothétique pour les cinq jours de suspension du droit aux indemnités journalières au mois d’avril 2018, soit 1'613 fr. (322 fr. 60 x 5). Le revenu moyen de l’appelant du 1 er mars au 31 août 2018 peut ainsi être arrêté à 6'935 fr. 10 ([4'705 fr. 75 + 1'012 fr. 15 + 5'161 fr. 55 + {5 x 322 fr. 60} + 7'419 fr. 75 + 6'774 fr. 55 + 4'931 fr. + 2'945 fr. 15 + 3'819 fr. 75 + 3'227 fr. 85] / 6). Cela étant, du 1 er janvier 2017 au 1 er mars 2018, le budget de l’appelant présentait un disponible de 1'944 fr. 30 (8'120 fr. – 6'175 fr. 70). Depuis le 1 er mars 2018, le budget de l’appelant présente un disponible de 759 fr. 40 (6'935 fr. 10 – 6'175 fr. 70).</w:t>
      </w:r>
    </w:p>
    <w:p>
      <w:r>
        <w:rPr>
          <w:b/>
        </w:rPr>
        <w:t>E. 4.3.2</w:t>
      </w:r>
    </w:p>
    <w:p>
      <w:r>
        <w:t>Jusqu’au 1 er mars 2018, le total du disponible du couple s’élevait à 4'218 fr. 05 (2'273 fr. 75 + 1'944 fr. 30), dont 53,9% ([2'273 fr. 75 / 4'218 fr. 05] x 100) en faveur de l’intimée et 46,1 % ([1'944 fr. 30/ 4'218 fr. 05] x 100) en faveur de l’appelant. Il y a lieu de pondérer la clé de répartition des coûts directs selon les excédents pour tenir compte du fait que l’intimée assume déjà son obligation d’entretien principalement en nature tout en travaillant à temps plein et de mettre 60 % du coût de l’entretien de S.________ à la charge de l’appelant et 40 % à la charge de l’intimée. Par conséquent, pour la période écoulée du 1 er janvier 2017 au 28 février 2018, c’est à bon droit que le premier juge a astreint l’appelant à contribuer à l’entretien de S.________ à hauteur de 60 %, soit 763 fr. 55 (1'272 fr. 60 x 60 %) et l’intimée à hauteur de 40 %, soit 509 fr. 05 (1'272 fr. 60 x 40 %).</w:t>
      </w:r>
    </w:p>
    <w:p>
      <w:r>
        <w:rPr>
          <w:b/>
        </w:rPr>
        <w:t>E. 4.3.3</w:t>
      </w:r>
    </w:p>
    <w:p>
      <w:r>
        <w:t>Depuis le 1 er mars 2018, le total du disponible du couple s’élève à 3'033 fr. 15 (759 fr. 40 + 2'273 fr. 75), dont 25 % en faveur de l’appelant ([759 fr. 40 / 3'033 fr. 15] x 100) et 75 % ([2'273 fr. 75 / 3'033 fr. 15] x 100) en faveur de l’intimée. Dès lors que le disponible de l’intimée est trois fois supérieur à celui de l’appelant, la clé de répartition 60 % – 40 % retenue par le premier juge ne lèse en tout cas ni l’intimée, ni l’enfant. Comme il n’y a pas lieu de réformer l’ordonnance d’office au détriment de l’enfant, on maintiendra la décision du premier juge quant à la pension due pour l’enfant. 5. 5.1 L’appelant reproche au premier juge de l’avoir astreint à tort à contribuer à l’entretien de l’intimée. 5.2 Pour fixer la contribution d'entretien due au conjoint à titre de mesures provisionnelles pour la durée de la procédure de divorce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(einstufige Methode) ; méthode du minimum vital élargi avec répartition de l'excédent (zweistufige Methode) [TF 5A_15/2014 du 28 juillet 2014 consid. 5.2.1 ; sur la distinction entre ces deux méthodes: cf. ATF 137 III 102 consid. 4.2.1.1]). Si l’épouse déploie déjà sa pleine capacité de gain, il n’est pas arbitraire d’appliquer la méthode du minimum vital avec répartition de l’excédent par moitié, pour autant qu’elle n’ait pas pour effet de faire bénéficier l’intéressée d’un niveau de vie supérieur à celui mené par le couple durant la vie commune (TF 5A_409/2007 du 14 novembre 2007 et réf. citées). Ainsi, même en cas de situation financière favorable, la méthode du minimum vital élargi peut être utilisée si elle n’aboutit pas à un déplacement de patrimoine qui anticiperait sur la liquidation du régime matrimonial, p.ex. lorsqu’il est établi que les époux ne réalisaient pas d’économies durant le mariage, ou que l’époux débiteur ne démontre pas qu’ils ont réellement fait des économies ou encore qu’en raison des frais supplémentaires liés à l’existence de deux ménages séparés et de charges, le revenu est entièrement absorbé par l’entretien courant (Juge délégué CACI 9 décembre 2011/394 ; cf. ATF 137 III 102 consid. 4.2.1.1) 5.3 En l’espèce, du 1 er janvier 2017 au 28 février 2018, le budget de l’intimée présente un disponible de 1'764 fr. 70 (2'273 fr. 75 – 509 fr. 05) après s’être acquittée du coût de l’entretien de S.________, respectivement de 1'637 fr. 45 (2'273 fr. 75 – 636 fr. 30) depuis le 1 er mars 2018. Quant à l’appelant, son budget présente un disponible de 1180 fr. 75 (1'944 fr. 30 – 763 fr. 55) du 1 er janvier 2017 au 28 février 2018, respectivement de 123 fr. 10 (759 fr. 40 – 636 fr. 30) depuis le 1 er mai 2018. Il s’ensuit que l’intimée ne peut prétendre à aucune contribution d’entretien pour elle-même, son budget présentant un disponible supérieur à celui de l’appelant. 6. 6.1 Il découle de ce qui précède que l’appel de R.________ doit être admis, que l’appel joint interjeté à l’audience par G.________ doit être déclaré irrecevable (cf. supra consid. 1.2) et que l’ordonnance doit être réformée au chiffre III de son dispositif en ce sens que R.________ ne doit pas être astreint à contribuer à l’entretien de G.________. 6.2 Les frais judiciaires de deuxième instance, arrêtés à 600 fr. (art. 63 al. 1 TFJC [tarif des frais judiciaires civils du 28 septembre 2010 ; RSV 270.11.5]), seront mis à la charge de l’intimée G.________, qui succombe (art. 106 al. 1 CPC). 6.3 Vu l’issue du litige et au vu de l’ampleur de l’appel, l’intimée G.________ versera à l’appelant R.________ la somme de 1'000 fr. (art. 7 et 20 al. 2 TDC [tarif des dépens en matière civile du 23 novembre 2010 ; RSV 270.11.6] à titre de dépens de deuxième instance. En définitive, l’intimée G.________ versera à l’appelant R.________ la somme de 1’600 fr. (100 fr. + 600 fr.) à titre de dépens de deuxième instance et de remboursement de l’avance des frais judiciaires (art. 111 al. 2 CPC). Par ces motifs, le juge délégué de la Cour d’appel civile prononce : I. L’appel de R.________ est admis. II. L’appel joint interjeté à l’audience par G.________ est irrecevable. III. L’ordonnance est réformée au chiffre III de son dispositif comme il suit : III. dit que R.________ n’est pas astreint à contribuer à l’entretien de G.________ ; L’ordonnance est confirmée pour le surplus. IV. Les frais judiciaires de deuxième instance, arrêtés à 600 fr. (six cents francs), sont mis à la charge de l’intimée G.________. V. L’intimée G.________ doit verser à l’appelant R.________ la somme de 1’600 fr. (mille six cents francs) à titre de dépens de deuxième instance et de remboursement de l’avance des frais judiciaires. VI. L’arrêt est exécutoire. Le juge délégué : La greffière : Du Le présent arrêt, dont la rédaction a été approuvée à huis clos, est notifié en expédition complète à : ‑ Me Pierre-Xavier Luciani (pour R.________), ‑ Me Isabelle Jaques (pour G.________), et communiqué, par l'envoi de photocopies,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octobre 2017 consid. 3.2, RSPC 2018 p. 16). La règle de l’art. 282 al. 2 CPC s’applique également en mesures protectrices de l’union conjugale (TF 5A_524/2017 du 9 octobre 2017 consid. 3.2, RSPC 2018 p. 16). Il convient toutefois de ne pas perdre de vue que la règle de l’art. 282 al. 2 CPC est de nature potestative. Il n’y a pas lieu d’en faire application au détriment de l’enfant (cf. Tappy, CPC commenté, 2011, n. 14 ad art. 282 CPC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