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899 vom 4. Oktober 2018</w:t>
      </w:r>
    </w:p>
    <w:p>
      <w:r>
        <w:t>VD Tribunal cantonal, 2018-10-04, FR</w:t>
      </w:r>
    </w:p>
    <w:p>
      <w:r>
        <w:rPr>
          <w:b/>
        </w:rPr>
        <w:t xml:space="preserve">Quelle: </w:t>
      </w:r>
      <w:r>
        <w:t>https://mcp.opencaselaw.ch/entscheid/vd_findinfo_HC___2018___899</w:t>
      </w:r>
    </w:p>
    <w:p>
      <w:r>
        <w:t>FR: VD_FINDINFO HC / 2018 / 899 du 4 octobre 2018</w:t>
      </w:r>
    </w:p>
    <w:p>
      <w:r>
        <w:t>IT: VD_FINDINFO HC / 2018 / 899 del 4 ottobre 2018</w:t>
      </w:r>
    </w:p>
    <w:p>
      <w:pPr>
        <w:pStyle w:val="Heading2"/>
      </w:pPr>
      <w:r>
        <w:t>Regeste</w:t>
      </w:r>
    </w:p>
    <w:p>
      <w:r>
        <w:t>MESURE PROVISIONNELLE, COPROPRIÉTÉ, ACTION EN PARTAGE | 650 CC, 651 al. 2 CC, 261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Les ordonnances de mesures provisionnelles étant régies par la procédure sommaire (art. 248 let. d CPC), le délai pour l’introduction de l’appel écrit et motivé est de dix jours (art. 311 al. 1 et 314 al. 1 CPC). L’appel est de la compétence du juge unique (art. 84 al. 2 LOJV [loi d’organisation judiciaire du 12 décembre 1979 ; RSV 173.01]). En l’espèce, l’appel a été interjeté en temps utile par une partie qui y a un intérêt (art. 59 al. 2 let. a CPC) et porte sur des conclusions supérieures à 10'000 fr., si bien qu’il est recevable.</w:t>
      </w:r>
    </w:p>
    <w:p>
      <w:r>
        <w:rPr>
          <w:b/>
        </w:rPr>
        <w:t>E. 2</w:t>
      </w:r>
    </w:p>
    <w:p>
      <w:r>
        <w:t>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En matière de mesures provisionnelles, la cognition du juge est limitée à la simple vraisemblance des faits et à un examen sommaire du droit, en se fondant sur les moyens de preuve immédiatement disponibles (ATF 138 III 636 consid. 4.3.2 ; TF 5A_823/2013 du 8 mai 2014 consid. 1.3 ; TF 5A_812/2015 du 6 septembre 2016 consid. 5.2).</w:t>
      </w:r>
    </w:p>
    <w:p>
      <w:r>
        <w:rPr>
          <w:b/>
        </w:rPr>
        <w:t>E. 3.1</w:t>
      </w:r>
    </w:p>
    <w:p>
      <w:r>
        <w:t>V.________ (ci-après : l’appelante) soutient que les conditions du prononcé des mesures provisionnelles requises seraient réalisées. A cet égard, elle affirme qu’elle serait exposée à un préjudice difficilement réparable, puisque sa situation actuelle serait précaire et que, compte tenu de ses dettes, sa part de copropriété sera probablement prochainement venue aux enchères. Son droit à disposer de moyens de subsistances suffisants l’emporterait sur le droit de propriété de Q.________ (ci-après : l’intimé). L’appelante affirme par ailleurs que la condition d’urgence serait réalisée. A ce titre, elle se prévaut du fait que l’intimé aurait plusieurs fois mis un terme à leurs négociations et qu’il se serait opposé à la vente de la villa à un tiers. Ce ne serait qu’au moment où sa situation financière s’est véritablement péjorée, soit lorsqu’elle a atteint l’âge de la retraite, que la situation serait devenue urgente. Elle fait dès lors grief au premier juge d’avoir considéré qu’elle aurait dû entamer une procédure judiciaire plus tôt. En outre, l’appelante prétend que le prononcé des mesures provisionnelles requises ne causerait aucun préjudice irréparable à l’intimé et n’épuiserait pas le procès au fond. Selon l’appelante, si la maison des parties était vendue aux enchères, la procédure au fond conserverait son utilité s’agissant des montants à répartir entre elles. De plus, s’il devait apparaître que l’intimé a subi un préjudice du fait de l’exécution des mesures provisionnelles, celui-ci pourrait prétendre à des dommages-intérêts. Enfin, les chances de succès du procès au fond seraient indéniables.</w:t>
      </w:r>
    </w:p>
    <w:p>
      <w:r>
        <w:rPr>
          <w:b/>
        </w:rPr>
        <w:t>E. 3.2.1.1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(Hohl, Procédure civile, tome Il, 2 e éd., 2010 [cité ci-après : Hohl, Procédure civile],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n. 176 p. 323). Un préjudice financier n’est en principe pas difficilement réparable (Zürcher, DIKE-Kommentar ZPO, 2 e éd. 2016, n. 30 ad art. 261 CPC), hormis les cas exceptionnels où il est susceptible d’entraîner la faillite de l’intéressé ou la perte de ses moyens d’existence (Seiler, Die Berufung nach ZPO, 2013 , n. 991 p. 424 et les réf. citées ; Juge délégué CACI 30 août 2012/390 ; Juge délégué CACI 16 septembre 2016/522 ).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CPC commenté, 2011, n. 12 ad art. 261 CPC). De façon générale, il y a urgence chaque fois que le retard apporté à une solution provisoire met en péril les intérêts d’une des parties (Hohl, La réalisation du droit et les procédures rapides,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la requête de mesures provisionnelles risque d’être rejetée si le tribunal arrive à la conclusion qu’une procédure ordinaire introduite à temps aurait abouti un jugement au fond dans des délais équivalents (Bohnet, op. cit., n. 12 ad art. 261 CPC ; Juge délégué CACI 2 août 2016/430).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w:t>
      </w:r>
    </w:p>
    <w:p>
      <w:r>
        <w:rPr>
          <w:b/>
        </w:rPr>
        <w:t>E. 3.2.1.2</w:t>
      </w:r>
    </w:p>
    <w:p>
      <w:r>
        <w:t>Les mesures d’exécution anticipée équivalent à une exécution anticipée du jugement à rendre. On différencie celles dont l'effet est provisoire, de sorte que l'action au fond les rendra caduques, de celles qui ont,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nn. 1844 ss pp. 336-337 ; ATF 131 III 473 consid. 2.3 ; Juge délégué CACI 16 septembre 2016/522).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 ATF 136 III 378 consid. 6.4 ; ATF 131 III 473 consid. 3.2).</w:t>
      </w:r>
    </w:p>
    <w:p>
      <w:r>
        <w:rPr>
          <w:b/>
        </w:rPr>
        <w:t>E. 3.2.2</w:t>
      </w:r>
    </w:p>
    <w:p>
      <w:r>
        <w:t>Conformément à l’art. 650 al. 1 CC, chaque copropriétaire a le droit d’exiger le partage à moins qu’il soit tenu de demeurer dans l’indivision. Le partage ne doit pas être provoqué en temps inopportun (art. 659 al. 3 CC). L'art.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pas le fixer totalement librement : il est en effet d'abord lié par les conclusions concordantes des parties à cet égard, même si les modalités en sont encore litigieuses (p. ex. les parties ont manifesté la volonté d'exclure la vente aux enchères publiques ; Steinauer, Les droits réels, tome I, 5 e éd. 2012, n. 1189 p. 418 ; Brunner/Wichtermann, Basler Kommentar, ZGB II, 5 e éd., 2015, n. 12 ad art. 651 CC ; Meier-Hayoz, Berner Kommentar, 5 e éd., 1981, n. 21 ad art. 651 CC). A défaut d'accord entre les copropriétaires, le juge statue alors selon sa libre appréciation (art. 4 CC), mais dans les limites de l'art. 651 al. 2 CC. Il ne peut ainsi qu'ordonner le partage en nature ou la vente, soit aux enchères publiques soit entre copropriétaires (TF 5A_62/2015 du 28 avril 2015 consid. 2. ; TF 5A_337/2015 du 5 octobre 2015 2.3.1), en choisissant la solution paraissant la plus adaptée au cas (ATF 100 II 187 consid. 2f ; CACI 16 septembre 2014/485).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 5 janvier 2011 consid 5 ; Brunner/Wichtermann, op. cit., n. 14 ad art. 651 CC).</w:t>
      </w:r>
    </w:p>
    <w:p>
      <w:r>
        <w:rPr>
          <w:b/>
        </w:rPr>
        <w:t>E. 3.3</w:t>
      </w:r>
    </w:p>
    <w:p>
      <w:r>
        <w:t>Le premier juge a considéré que l’appelante avait déménagé de la maison litigieuse en novembre 2014 et que la durée de trois ans, voire même sept ans depuis la conclusion de la convention sur les effets accessoires du divorce, n’était pas sans pertinence. Il a estimé que si une requête avait été déposée en 2014, il n’était pas exclu que la cause aurait été en état d’être jugée à ce stade. Il a par ailleurs relevé que le fait qu’une procédure au fond soit longue par nature ne pouvait pas aboutir à retenir que le critère d’urgence était réalisé. De plus, le fait que l’appelante atteindrait l’âge de la retraite en mai 2018 était connu depuis longtemps et prévisible. Cela étant, le premier juge a considéré qu’à défaut d’urgence, l’appelante n’avait pas rendu vraisemblable l’existence d’un préjudice difficilement réparable. Le magistrat a encore retenu que l’appelante avait pris des conclusions similaires dans sa demande au fond que celles prises à titre provisionnel. Par conséquent, il ne pouvait pas ordonner de mesures provisionnelles qui, par leur nature, impliquaient un jugement définitif sur la prétention à protéger.</w:t>
      </w:r>
    </w:p>
    <w:p>
      <w:r>
        <w:rPr>
          <w:b/>
        </w:rPr>
        <w:t>E. 3.4.1</w:t>
      </w:r>
    </w:p>
    <w:p>
      <w:r>
        <w:t>En l’espèce, les mesures requises par l’appelante doivent être qualifiées de mesures d’exécution anticipée définitives, dès lors que celle-ci entend obtenir, à titre provisionnel, le partage de la copropriété et la vente aux enchères de la villa, ce qui correspond aux conclusions prises dans la procédure au fond. Les faits qui justifient les mesures doivent ainsi être constatés avec une haute vraisemblance, confinant à la certitude. Force est tout d’abord de constater que l’appelante ne rend pas hautement vraisemblable que sa situation financière actuelle découlerait de l’absence de partage de la copropriété qu’elle forme avec l’intimé. En effet, comme retenu à juste titre par le premier juge, l’âge de la retraite de l’appelante et la situation financière qui en découlerait étaient prévisibles, si bien qu’il lui appartenait d’agir en justice à tout le moins dès le mois de novembre 2014, soit après son déménagement de la maison litigieuse. L’appelante relève en effet elle-même qu’après avoir échoué en novembre 2014, les négociations entre les parties ont repris en mars 2017. C’est ainsi un délai d’au moins trois ans qui s’est écoulé avant que l’appelante agisse par la voie judiciaire. Elle a encore attendu plus de deux mois après l’échec de la conciliation pour déposer sa requête de mesures d’extrême urgence. Par ailleurs, l’appelante a acquis un commerce au prix de 120'000 fr. et a contracté un crédit à ce titre avant que sa part de copropriété soit vendue, prenant ainsi le risque de péjorer sa situation financière. On relèvera que les pièces 24 à 26, soit l’échange de courriels avec le notaire [...], n’attestent pas du fait qu’un accord aurait été conclu avec l’intimé en automne 2014, ni à quelles conditions. En outre, on ignore pourquoi l’appelante a déménagé de la maison litigieuse en novembre 2014 pour laisser l’intimé s’y installer gratuitement, ni pourquoi elle n’a pas cherché à vendre sa part de copropriété à un tiers avant qu’elle soit saisie par l’Office des poursuites (art. 646 al. 3 CC). On ignore également pourquoi l’appelante n’a pas loué une partie de la maison pour en percevoir des loyers (art. 643 CC), alors qu’elle soutient que c’est ce que ferait l’intimé. Il ne ressort pas du dossier que l’appelante serait exposée à la perte de ses moyens d’existence du fait que ses avoirs LPP ont été investis dans la maison, puisque contrairement à ce qu’elle soutient, il ne ressort pas de la pièce 40 qu’elle ne dispose d’aucune prestation de vieillesse. Elle ne fournit au demeurant aucune pièce actualisée au sujet de ses revenus. Pour le surplus, l’appelante ne rend pas hautement vraisemblable que si sa part de copropriété, ayant été saisie par l’Office des poursuites, était vendue aux enchères, elle ne percevrait aucun bénéfice. On peine d’ailleurs à suivre l’appelante dans son raisonnement, puisqu’elle critique la vente aux enchères publiques des biens immobiliers, tout en prenant des conclusions allant dans ce sens dans la présente procédure. Par conséquent, la situation financière actuelle de l’appelante, dont on ne conteste pas qu’elle soit difficile, ne saurait être uniquement mise en lien avec l’absence de partage de la copropriété, si bien c’est à raison que le premier juge a refusé d’ordonner les mesures provisionnelles requises. De plus, comme retenu à juste titre par l’autorité de première instance, il est à prévoir que si la procédure avait été introduite en 2014, il est hautement probable qu’elle serait en état d’être jugée, ce qui doit conduire au rejet des conclusions prises à titre provisionnel (cf. supra consid. 3.2.1.1).</w:t>
      </w:r>
    </w:p>
    <w:p>
      <w:r>
        <w:rPr>
          <w:b/>
        </w:rPr>
        <w:t>E. 3.4.2</w:t>
      </w:r>
    </w:p>
    <w:p>
      <w:r>
        <w:t>Contrairement à ce que soutient l’appelante et à l’instar de ce qu’a relevé le premier juge, le partage de la copropriété des parties, respectivement la vente aux enchères du bien, équivaudrait à un jugement au fond. Comme rappelé ci-avant, si les copropriétaires ne s'entendent pas sur le mode de partage, chacun d'eux peut ouvrir l'action en partage (art. 651 al. 2 CC). Le juge détermine alors le mode de partage, en choisissant la solution paraissant la plus adaptée au cas (cf. supra consid. 3.2.2). Le juge des mesures provisionnelles, statuant sous l’angle de la vraisemblance en se fondant sur les moyens de preuve immédiatement disponibles, n’est pas en mesure de constater qu’il existe un désaccord entre les parties, ni de déterminer le mode de partage le plus adapté. Il n’est pas non plus à même de vérifier que le partage n’intervient pas en temps inopportun (cf. art. 650 al. 3 CC). Cela étant, une instruction complète est à l’évidence nécessaire, laquelle ne peut être menée que dans le cadre d’une procédure au fond. L’appelante le reconnaît d’ailleurs elle-même, puisqu’elle relève que diverses mesures d’instruction vont vraisemblablement être demandées. Par conséquent, les mesures provisionnelles requises ne peuvent pas être ordonnées à ce stade.</w:t>
      </w:r>
    </w:p>
    <w:p>
      <w:r>
        <w:rPr>
          <w:b/>
        </w:rPr>
        <w:t>E. 4.1</w:t>
      </w:r>
    </w:p>
    <w:p>
      <w:r>
        <w:t>Au vu de ce qui précède, l’appel doit être rejeté selon l’art. 312 al. 1 in fine CPC et l’ordonnance entreprise confirmée.</w:t>
      </w:r>
    </w:p>
    <w:p>
      <w:r>
        <w:rPr>
          <w:b/>
        </w:rPr>
        <w:t>E. 4.2</w:t>
      </w:r>
    </w:p>
    <w:p>
      <w:r>
        <w:t>Les frais judiciaires de deuxième instance, arrêtés à 800 fr. (art. 65 al. 1 TFJC [tarif des frais judiciaires civils du 28 septembre 2010 ; RSV 270.11.5]), seront mis à la charge de l’appelante V.________, qui succombe (art. 106 al. 1 CPC), et provisoirement laissés à la charge de l’Etat compte tenu de l’assistance judiciaire (art. 122 al. 1 let. b CPC).</w:t>
      </w:r>
    </w:p>
    <w:p>
      <w:r>
        <w:rPr>
          <w:b/>
        </w:rPr>
        <w:t>E. 4.3</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211.02.3]). Dans sa liste des opérations du 2 octobre 2018, l’avocate Janique Torchio-Popescu indique avoir consacré 8 heures 50 à la procédure. Elle annonce également des débours par 29 fr. 30. Il s’ensuit qu’au tarif horaire de 180 fr. hors TVA (art. 2 al. 1 let. a et b RAJ), l’indemnité de Me Janique Torchio-Popescu sera arrêtée, pour la procédure d’appel, à 1'590 fr., montant auquel il faut ajouter 29 fr. 30 à titre de débours et la TVA de 7,7 % sur le tout, ce qui donne un total de 1'744 francs.</w:t>
      </w:r>
    </w:p>
    <w:p>
      <w:r>
        <w:rPr>
          <w:b/>
        </w:rPr>
        <w:t>E. 4.4</w:t>
      </w:r>
    </w:p>
    <w:p>
      <w:r>
        <w:t>La bénéficiaire de l'assistance judiciaire est, dans la mesure de l'art. 123 CPC, tenue au remboursement des frais judiciaires et de l'indemnité de son conseil d'office, laissés provisoirement à la charge de l'Etat.</w:t>
      </w:r>
    </w:p>
    <w:p>
      <w:r>
        <w:rPr>
          <w:b/>
        </w:rPr>
        <w:t>E. 4.5</w:t>
      </w:r>
    </w:p>
    <w:p>
      <w:r>
        <w:t>L’intimé Q.________ n’ayant pas été invité à se déterminer, il n’y a pas lieu à l’allocation de dépens de deuxième instance. Par ces motifs, le juge délégué de la Cour d’appel civile prononce : I. L’appel est rejeté. II. L’ordonnance est confirmée. III. Les frais judiciaires de deuxième instance, arrêtés à 800 fr. (huit cents francs), sont mis à la charge de l’appelante V.________ et provisoirement laissés à la charge de l’Etat. IV. L’indemnité de Me Janique Torchio-Popescu est arrêtée à 1'744 fr. (mille sept cent quarante-quatre francs), TVA et débours compris. V. La bénéficiaire de l'assistance judiciaire est, dans la mesure de l'art. 123 CPC, tenue au remboursement des frais judiciaires et de l'indemnité de son conseil d'office, mis à la charge de l'Etat. VI. L’arrêt est exécutoire. Le juge délégué : La greffière : Du Le présent arrêt, dont la rédaction a été approuvée à huis clos, est notifié en expédition complète à : ‑ Me Janique Torchio-Popescu (pour V.________), ‑ Me Alain Dubuis (pour Q.________), et communiqué, par l'envoi de photocopies, à : ‑ M. le Juge délégué de la Chambre patrimoniale canotnale.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