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805 vom 12. September 2018</w:t>
      </w:r>
    </w:p>
    <w:p>
      <w:r>
        <w:t>VD Tribunal cantonal, 2018-09-12, FR</w:t>
      </w:r>
    </w:p>
    <w:p>
      <w:r>
        <w:rPr>
          <w:b/>
        </w:rPr>
        <w:t xml:space="preserve">Quelle: </w:t>
      </w:r>
      <w:r>
        <w:t>https://mcp.opencaselaw.ch/entscheid/vd_findinfo_HC___2018___805</w:t>
      </w:r>
    </w:p>
    <w:p>
      <w:r>
        <w:t>FR: VD_FINDINFO HC / 2018 / 805 du 12 septembre 2018</w:t>
      </w:r>
    </w:p>
    <w:p>
      <w:r>
        <w:t>IT: VD_FINDINFO HC / 2018 / 805 del 12 settembre 2018</w:t>
      </w:r>
    </w:p>
    <w:p>
      <w:pPr>
        <w:pStyle w:val="Heading2"/>
      </w:pPr>
      <w:r>
        <w:t>Regeste</w:t>
      </w:r>
    </w:p>
    <w:p>
      <w:r>
        <w:t>GARANTIE EN RAISON DES DÉFAUTS DE LA CHOSE, EXPERTISE, FORCE PROBANTE, ACTION RÉDHIBITOIRE, ADMISSION PARTIELLE | 197 al. 1 CO, 205 al. 1 CO, 206 al. 2 CO, 209 al. 2 CO</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conteste l'existence de défauts de la chose vendue. Elle soutient que l'expertise judiciaire n'aurait pas établi ces défauts s'agissant de l'appareil K.________ et que l'instruction de la cause ne les aurait pas non plus démontrés pour l'appareil D.________. Elle fait encore valoir que les premiers juges auraient mal appliqué l'art. 205 al. 1 CO. Appareil K.________</w:t>
      </w:r>
    </w:p>
    <w:p>
      <w:r>
        <w:rPr>
          <w:b/>
        </w:rPr>
        <w:t>E. 4.1</w:t>
      </w:r>
    </w:p>
    <w:p>
      <w:r>
        <w:t>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 e éd., Genève/Zurich/Bâle 2016, p. 94, n. 659 ; Venturi/Zen-Ruffinen, Commentaire romand, Code des obligations I, 2 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Le défaut peut également être de nature économique,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 références citées ; Venturi/Zen-Ruffinen, op. cit., nn. 5-6 ad art. 197 CO).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 Lorsque l'acheteur acquiert un appareil parce que sur la foi d'assurances reçues du vendeur lors de la négociation du contrat, il espérait de cet appareil des analyses hématologiques moins coûteuses, le fonctionnement économique de l'appareil doit être considéré comme une qualité promise dont le manque suffit à justifier la résolution du contrat (TF 4A_28/2017 du 28 juin 2017 consid. 5).</w:t>
      </w:r>
    </w:p>
    <w:p>
      <w:r>
        <w:rPr>
          <w:b/>
        </w:rPr>
        <w:t>E. 4.2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 Le juge ne doit pas faire prévaloir sa propre connaissance sur la connaissance technique de l'expert et se présenter comme un arbitre dans une controverse entre experts, mais peut se ranger sur les questions techniques à l'opinion fondée de l'expert qu'il a désigné (TF 4A_633/2016 du 6 septembre 2017 consid. 6.1).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 ATF 136 II 539 consid. 3.2 ; ATF 133 II 384 consid. 4.2.3 ; TF 5A_501/2013 du 13 janvier 2014 consid. 6.1.3.2).</w:t>
      </w:r>
    </w:p>
    <w:p>
      <w:r>
        <w:rPr>
          <w:b/>
        </w:rPr>
        <w:t>E. 4.3.1</w:t>
      </w:r>
    </w:p>
    <w:p>
      <w:r>
        <w:t>En ce qui concerne l'appareil K.________, les premiers juges ont retenu qu'il ressortait très clairement des constatations de l'expert, dont ils n'avaient pas de motif de s'écarter, que cet appareil, qui devait permettre aux intimés d'effectuer des analyses de chimie sanguine de manière fiable sur les animaux, donnait des résultats erronés, incohérents et incompatibles avec les pathologies constatées lors des examens. Dans son rapport principal, l'expert [...], ancien responsable de l'Institut [...], a indiqué que l'examen de la fiabilité de l'appareil K.________ imposait d'examiner si les utilisateurs de l'appareil avaient les compétences nécessaires dans son usage, si les réactifs étaient correctement stockés, si les échantillons étaient correctement identifiables et si les résultats donnés par l'appareil pouvaient être comparés avec des résultats obtenus dans un laboratoire spécialisé. Relevant qu'aucun manque de compétence du personnel n'expliquait les problèmes rencontrés avec l'appareil K.________, que le cabinet était bien équipé et disposait des procédures adéquates pour stocker correctement les produits nécessaires, qu'une confusion d'échantillon apparaissait ainsi peu probable, l'expert a retenu cinq comparaisons d'analyses effectuées à la fois par l'appareil K.________ et en laboratoire externe et a confirmé qu'il y avait des différences importantes entre les analyses. Les résultats fournis par le laboratoire spécialisé étaient compatibles avec l'état clinique de l'animal, au contraire des résultats obtenus par l'appareil K.________. Si l'appareil K.________ fonctionnait correctement du point de vue technique, aucune des pièces fournies par l'appelante n'établissait que l'appareil était adéquat pour effectuer des analyses sur du matériel clinique d'origine animale. L'expert a précisé que pour déterminer si un appareil était approprié pour réaliser des analyses sur du matériel d'origine animale, il fallait faire des tests en parallèle avec un appareil d'un autre fabriquant ou au moins un autre modèle d'appareil, raison pour laquelle il avait demandé à l'appelante de lui faire parvenir les données brutes avec la date d'analyse, les résultats et l'évaluation de ces tests pour chaque espèce d'animal mentionnée dans les documents, pièces qui n'avaient pas été fournies à l'expert. Sur la base de ces éléments, l'expert a confirmé que l'appareil K.________ vendu aux intimés ne permettait pas d'obtenir des résultats fiables. Interpellé sur la méthodologie, en particulier les raisons pour lesquelles il s'était fondé uniquement sur les tests effectués par le cabinet intimé et n'avait pas effectué lui-même des tests, l'expert a répondu, dans son rapport complémentaire du 16 novembre 2016, que la fiabilité d'un appareil d'analyses vétérinaires se contrôlait avec des échantillons standardisés et sous des conditions bien définies, ce qui n'était pas possible dans un cabinet vétérinaire. C'est la raison pour laquelle le fournisseur d'appareils de ce genre devait, pour garantir la fiabilité de son appareil, montrer qu'il avait fait les tests nécessaires attestant que les résultats étaient corrects pour tous les échantillons provenant des diverses espèces animales pour lesquelles l'appareil était proposé.</w:t>
      </w:r>
    </w:p>
    <w:p>
      <w:r>
        <w:rPr>
          <w:b/>
        </w:rPr>
        <w:t>E. 4.3.2</w:t>
      </w:r>
    </w:p>
    <w:p>
      <w:r>
        <w:t>Il n'apparaît pas que la méthodologie appliquée par l'expert, qu'il a expliquée de manière détaillée dans son expertise et son complément, présente des défauts évidents, qui justifieraient que l'on s'en écarte. L'appelante s'est d'ailleurs abstenue de requérir une seconde expertise, qui lui aurait permis de remettre éventuellement en cause la méthodologie suivie. L'appelante soutient dès lors en vain que, pour parvenir à des résultats fiables, l'expertise aurait dû nécessairement inclure des tests faits directement par l'expert avec les appareils litigieux et que, si de tels tests devaient être nombreux pour avoir valeur probante, c'était aux intimés, à qui appartenait le fardeau de la preuve, d'en assumer les conséquences et le coût. La méthode appliquée par l'expert, qui a exposé les raisons pour lesquelles une analyse directe n'était pas possible dans un cabinet vétérinaire, permet d'exclure les facteurs tenant à la sphère des intimés et apparaît adéquate, d'autant plus qu'il appartenait à l'appelante, en tant que fournisseur d'appareils de ce genre, de montrer qu'elle avait fait les tests nécessaires attestant que les résultats étaient corrects pour tous les échantillons provenant des diverses espèces animales pour lesquelles l'appareil était proposé. C'est également en vain que l'appelante fait valoir que, pour exclure tout facteur lié aux intimés, il aurait fallu interroger l'ensemble du personnel. L'expert a au contraire pu se faire une image correcte, en inspectant personnellement les locaux, en interrogeant les vétérinaires et en faisant l'analyse comparative des rapports de cinq animaux entre les résultats d'analyse créés par l'appareil K.________ et ceux obtenus par un laboratoire spécialisé, dont il résultait que les résultats fournis par le laboratoire spécialisé étaient compatibles avec l'état clinique de l'animal, au contraire de ceux obtenus par l'appareil K.________. Il résulte par ailleurs des développements qui précèdent que l'expert ne s'est nullement contenté d'examiner les aptitudes de l'utilisateur, comme le plaide l'appelante. Enfin, on ne saurait voir un quelconque défaut d'impartialité de l'expert dans les échanges de courriers avec le greffe, pour définir les contours de sa mission, en particulier dans le courrier du 15 novembre 2015 dont se prévaut l'appelante. Il aurait d'ailleurs appartenu à l'appelante de requérir à ce moment-là la récusation de l'expert, ce qu'elle s'est abstenue de faire. On relèvera encore que l'existence des défauts et l'absence de fiabilité de l'appareil ressortent également du témoignage d'U.________, qui corrobore l'expertise. Celle-ci est également corroborée par le fait qu'un autre vétérinaire avait soumis les résultats d'analyse de l'appareil K.________ au médecin vétérinaire auprès du Laboratoire d'analyse médicale du Département de médecine vétérinaire de l'Université de Berne, qui, après examen, lui avait vivement recommandé de ne pas utiliser cet appareil jusqu'à ce que la source de variation des mesures soit corrigée. Le moyen est infondé, les premiers juges ayant retenu l'existence de défauts de l'appareil K.________, dans une manière qui ne prête pas le flanc à la critique.</w:t>
      </w:r>
    </w:p>
    <w:p>
      <w:r>
        <w:rPr>
          <w:b/>
        </w:rPr>
        <w:t>E. 5.1</w:t>
      </w:r>
    </w:p>
    <w:p>
      <w:r>
        <w:t>L'appelante soutient encore que, dès lors qu'ils avaient accepté qu'elle tentât de réparer l'appareil K.________ et qu'ils avaient ensuite rejeté sa proposition de remplacer cet appareil par un autre appareil [...], les intimés seraient déchus du droit de résoudre le contrat relatif à l'appareil K.________.</w:t>
      </w:r>
    </w:p>
    <w:p>
      <w:r>
        <w:rPr>
          <w:b/>
        </w:rPr>
        <w:t>E. 5.2.1</w:t>
      </w:r>
    </w:p>
    <w:p>
      <w:r>
        <w:t>Selon l'art. 205 al. 1 CO, l'acheteur a le choix entre l'action rédhibitoire ou l'action en réduction de prix. Le droit de la vente n'accorde en revanche pas à l'acheteur un droit à la réparation de la chose (ATF 95 II 119 consid. 6, JdT 1970 I 238 ; Venturi/Zen-Ruffinen, op. cit., n. 28 ad art. 205 CO ; Tercier/Bieri/Carron, op. cit., n. 756 p. 108), certains auteurs proposant cependant d'accorder ce droit à l'acheteur par application analogique de l'art. 368 al. 2 CO ou par application des règles de la bonne foi, en particulier lorsque la chose est facilement réparable, si la réparation est offerte sans délai et n'entraîne pas d'inconvénients pour l'acheteur (Venturi/Zen-Ruffinen, op. cit., n. 29 ad art. 205 CO ; Tercier/Bieri/Carron, op. cit., n. 757 p. 108). Le droit à la réparation peut aussi être prévu conventionnellement (ATF 124 III 456 consid. 4b, JdT 2000 I 172 ; Venturi/Zen-Ruffinen, op. cit., n. 28 ad art. 205 CO). Le choix exprimé par celui qui se plaint des défauts le lie définitivement (Venturi/Zen-Ruffinen, op. cit., n. 5 ad art. 205 CO ; Tercier/Bieri/Carron, op. cit., n. 760 p. 109). Il faut réserver les cas dans lesquels la réparation est effectuée de manière défectueuse (ATF 109 II 40 consid. 6, en matière de contrat d'entreprise) ou se révèle impossible (ATF 124 III 456 consid. 4b, JdT 2000 I 172), auquel cas l'acheteur retrouve son droit d'option. On ne saurait en effet imposer à l'acheteur le soin d'apporter un objet à réparer au vendeur puis d'aller le rechercher un nombre indéterminé de fois, ce d'autant moins lorsque, comme en l'espèce, le vendeur est un spécialiste. Lorsque la réparation entreprise est défectueuse, l'acheteur n'a dès lors pas à fixer au vendeur un nouveau délai pour effectuer la réparation et peut se borner à constater que celle-ci a échoué pour faire valoir à nouveau son option légale (CREC I 18 décembre 2009/646).</w:t>
      </w:r>
    </w:p>
    <w:p>
      <w:r>
        <w:rPr>
          <w:b/>
        </w:rPr>
        <w:t>E. 5.2.2</w:t>
      </w:r>
    </w:p>
    <w:p>
      <w:r>
        <w:t>En l'espèce, si les intimés ont admis que l'appelante intervienne à plusieurs reprises afin de remédier aux problèmes rencontrés avec l'appareil, celle-ci a été dans l'incapacité de les réparer, prétendant au contraire – à tort au vu de l'expertise (cf. supra consid. 4.3) – que les erreurs des résultats d'analyse provenaient d'une mauvaise manipulation de l'appareil. Dès lors qu'aucune réparation n'est intervenue en temps utile, les intimés ont retrouvé leur droit d'option et ne sont pas déchus de leur droit de résoudre le contrat.</w:t>
      </w:r>
    </w:p>
    <w:p>
      <w:r>
        <w:rPr>
          <w:b/>
        </w:rPr>
        <w:t>E. 5.3</w:t>
      </w:r>
    </w:p>
    <w:p>
      <w:r>
        <w:t>Dans la vente d'une chose déterminée par son genre seulement, et sous certaines conditions, l'art. 206 al. 2 CO (interprétation de son libellé : ATF 94 II 26 consid. 4a) autorise le vendeur à remplacer la chose défectueuse qu'il a livrée par une autre du même genre, mais exempte de défaut, et à se libérer ainsi des actions rédhibitoire ou en diminution du prix. Cette règle eût autorisé la défenderesse à remplacer l'appareil K.________ par un autre appareil K.________. En revanche, elle ne l'autorise pas à remplacer cet appareil par un autre appareil « d'un type différent », c'est-à-dire d'un genre autre que celui convenu. Il est sans importance que l'appareil proposé eût peut-être – l'appelante ne l'a en aucune manière établi – assuré des fonctions équivalentes à celles attendues de l'appareil K.________. Il importe également peu que le demandeur ait précédemment accepté des tentatives de réparer l'appareil K.________ alors que les règles du contrat de vente ne l'y obligeaient pas. En effet, accepter une dérogation au régime applicable n'oblige pas à en accepter aussi une autre (TF 4A_28/2017 du 28 juin 2017 consid. 7, concernant déjà l'appelante). Le moyen est infondé. Pour le surplus, l'appelante ne plaide pas que seule une réduction de prix aurait été justifiée, de sorte qu'il n'y a pas lieu d'y revenir. Appareil D.________</w:t>
      </w:r>
    </w:p>
    <w:p>
      <w:r>
        <w:rPr>
          <w:b/>
        </w:rPr>
        <w:t>E. 6.1</w:t>
      </w:r>
    </w:p>
    <w:p>
      <w:r>
        <w:t>En ce qui concerne l'appareil D.________, il est exact, comme le relève l'ap pelante, que l'expert ne s'est pas prononcé sur la supposée utilisation coûteuse de l'appareil D.________ à défaut des pièces nécessaires qu'il avait requises des parties le 27 janvier 2016. Il a confirmé dans son rapport complémentaire ne pas avoir de pièces en lien avec l'appareil D.________. Il n'est par ailleurs pas établi que les considérations de l'expert sur le manque de fiabilité de l'appareil K.________ concernent également l'appareil D.________.</w:t>
      </w:r>
    </w:p>
    <w:p>
      <w:r>
        <w:rPr>
          <w:b/>
        </w:rPr>
        <w:t>E. 6.2</w:t>
      </w:r>
    </w:p>
    <w:p>
      <w:r>
        <w:t>Les premiers juges ont considéré que cet appareil devait permettre d'obtenir des analyses hématologiques fiables, plus rapides et à plus faible coût que la machine dont disposaient précédemment les intimés. Il ressortait toutefois des déclarations des intimés, confirmées par le témoignage d'U.________, que ces derniers avaient dû assumer des coûts économiques élevés pour effectuer les analyses. Les premiers juges ont estimé n'avoir aucune raison d'écarter le témoignage d’U.________ du seul fait de ses liens avec les intimés. Les propos tenus par cette dernière s'agissant de l'appareil K.________ avaient été confirmés par les constatations de l'expert et les premiers juges voyaient mal pour quelle raison ses propos concernant l'appareil D.________ devaient être considérés autrement.</w:t>
      </w:r>
    </w:p>
    <w:p>
      <w:r>
        <w:rPr>
          <w:b/>
        </w:rPr>
        <w:t>E. 6.3</w:t>
      </w:r>
    </w:p>
    <w:p>
      <w:r>
        <w:t>En l'espèce, les déclarations des parties n'ont pas fait l'objet d'un procès-verbal d'interrogatoire au sens de l'art. 191 CPC ou de déposition de partie au sens de l'art. 192 CPC. Or, pour avoir valeur probante, la déposition des parties doit être transcrite au procès-verbal dans sa teneur essentielle et être signée (TF 4A_498/2014 du 3 février 2015 consid. 3.3), ce qui n'est pas le cas en l'espèce. Quant au témoignage d’U.________, il n'apparaît pas suffisant pour retenir à lui seul l'existence de défauts affectant l'appareil D.________. Le témoin a en effet indiqué savoir seulement que ses employeurs se plaignaient des coûts élevés des analyses, mais ignorer ce qu'il en était, car elle ne traitait pas de la facturation. Elle ne s'est pas souvenue que l'appareil D.________ ait consommé plus de produits réactifs que ce qui avait été indiqué par l'appelante et s'est limitée à dire avoir entendu par ses employeurs qu'ils devaient acquérir auprès de l'appelante des produits réactifs livrés en grande quantité. Ce témoignage, pour l'essentiel indirect et par ouï-dire, n'est pas suffisamment précis pour retenir que les intimés ont dû assumer des coûts économiques élevés pour effectuer les analyses avec l'appareil D.________. La preuve sur les coûts des analyses relevait d'ailleurs de connaissances techniques, ce dont les intimés ont été pleinement conscients, puisqu'ils ont offert de prouver leur allégué 42 (« l'appareil D.________ vendu par la défenderesse ne permet pas une utilisation économique et adaptée aux besoins de l'usager ») par expertise, preuve admise dans l'ordonnance de preuve. Or l'expert, faute d'informations pourtant requises des parties, n'a pas été en mesure de se prononcer sur l'allégué et les intimés n'ont produit aucune pièce étayant leurs affirmations. Il ressort de ce qui précède que les premiers juges ont procédé à une appréciation erronée des preuves et qu'il n'a pas été établi à satisfaction de droit que l'appareil D.________ entraînait des coûts élevés, de sorte qu'il n'y a pas lieu d'examiner la question de savoir si le fonctionnement économique de l'appareil constituait une qualité promise – ce que les premiers juges ont retenu mais qui est contesté par l'appelante, laquelle soutient qu'il s'agirait d'indications publicitaires non contraignantes.</w:t>
      </w:r>
    </w:p>
    <w:p>
      <w:r>
        <w:rPr>
          <w:b/>
        </w:rPr>
        <w:t>E. 7.1</w:t>
      </w:r>
    </w:p>
    <w:p>
      <w:r>
        <w:t>Les intimés soutiennent cependant que, même si l'on devait admettre l'absence de défauts concernant l'appareil D.________, la rédhibition de l'appareil K.________ devrait s'étendre à l'appareil D.________, selon l'art. 209 al. 2 CO.</w:t>
      </w:r>
    </w:p>
    <w:p>
      <w:r>
        <w:rPr>
          <w:b/>
        </w:rPr>
        <w:t>E. 7.2</w:t>
      </w:r>
    </w:p>
    <w:p>
      <w:r>
        <w:t>Selon l'art. 209 al. 2 CO, si la chose ou la pièce défectueuse ne peut pas être détachée de celles qui sont exemptes de défauts sans un préjudice notable pour l'acheteur ou le vendeur, la résiliation doit s'étendre à tout l'objet de la vente. La résolution ne sera totale que si la chose ou la partie défectueuse n'a pas un minimum d'indépendance par rapport à l'ensemble et que la séparation entraînerait un préjudice notable pour l'une des parties ; c'est le cas si, au moment de la conclusion du contrat, les différentes choses composent dans l'esprit des parties une unité, de telle sorte qu'elles doivent partager le même sort juridique (Tercier/Bieri/Carron, Les contrats spéciaux, 5 e éd., n. 788 p. 112). Ce sera notamment le cas lorsque les choses en question forment, selon l'usage commercial, une unité économique (par exemple un service de table, un ouvrage comportant plusieurs volumes, un mobilier complet d'une chambre), étant alors décisif que le prix de l'ensemble soit supérieur à la somme de la valeur de chaque pièce, ou lorsqu'on ne peut exiger de l'acheteur qu'il trie les pièces défectueuses et celles qui ne le sont pas en raison du temps, du travail ou du coût que cela représenterait pour lui (Venturi/Zen Ruffinen, Commentaire romand, 2 e éd., n. 7 ad art 209 CO ; Honsell, Basler Komentar, 6 e éd., n. 2 ad art. 209 CO).</w:t>
      </w:r>
    </w:p>
    <w:p>
      <w:r>
        <w:rPr>
          <w:b/>
        </w:rPr>
        <w:t>E. 7.3</w:t>
      </w:r>
    </w:p>
    <w:p>
      <w:r>
        <w:t>En l'espèce, même si les deux appareils ont été commandés en même temps et ont fait l'objet d'un financement par le biais d'un contrat de leasing unique, il n'apparaît pas qu'ils forment une unité économique. En particulier, le fait que l'un des appareils présente des défauts empêchant son utilisation n'empêche pas l'utilisation de l'autre appareil, les deux appareils ayant une fonction différente, l'un étant un appareil d'analyses de chimie et l'autre un appareil d'analyses hématologiques, et leur utilité n'est pas fonction l'un de l'autre comme dans le cas du service de table ou de l'ouvrage comportant plusieurs volumes. Au demeurant, il n'est pas établi que la valeur de l'ensemble soit supérieure à celle de la valeur de chaque pièce, ce qui démontre qu'ils sont indépendants l'un de l'autre. Enfin, le fait que les intimés aient perdu toute confiance en l'appelante n'est pas décisif et ne saurait à lui seul créer une unité économique. Les conditions de l'art. 209 al. 2 CO ne sont pas réalisées.</w:t>
      </w:r>
    </w:p>
    <w:p>
      <w:r>
        <w:rPr>
          <w:b/>
        </w:rPr>
        <w:t>E. 8.1</w:t>
      </w:r>
    </w:p>
    <w:p>
      <w:r>
        <w:t>L'appel doit ainsi être admis en ce qui concerne l'appareil D.________ (cf. consid. 6 et 7 supra ), mais rejeté en ce qui concerne l'appareil K.________ (cf. consid. 4 et 5 supra ). Comme les deux appareils avaient le même prix, Q.________SA devra en définitive verser 16'200 fr. aux intimés.</w:t>
      </w:r>
    </w:p>
    <w:p>
      <w:r>
        <w:rPr>
          <w:b/>
        </w:rPr>
        <w:t>E. 8.2</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L’appelante obtient gain de cause sur le principe d’absence de défaut de l’appareil D.________, de sorte que les frais de première instance doivent être supportés par moitié par chacune des parties. Les frais judiciaires de première instance, arrêtés à 11'300 fr., doivent être mis à la charge des intimés, solidairement entre eux par 5'650 fr. et à la charge de l’appelante par 5'650 francs. Les frais de la procédure de conciliation de première instance, arrêtés à 900 fr., doivent également être répartis par moitié entre les parties, de sorte qu’ils seront mis par 450 fr. à la charge des intimés, solidairement entre eux, et par 450 fr. à la charge de l’appelante. Par conséquent, l’appelante ayant avancé la somme de 900 fr. lors de la procédure de première instance, elle devra rembourser aux intimés la somme de 5'200 fr. (5'650 fr. – 900 fr. + 450 fr.) à titre de restitution partielle d’avance de frais, y compris pour la procédure de conciliation. Les dépens de première instance seront compensés.</w:t>
      </w:r>
    </w:p>
    <w:p>
      <w:r>
        <w:rPr>
          <w:b/>
        </w:rPr>
        <w:t>E. 8.3</w:t>
      </w:r>
    </w:p>
    <w:p>
      <w:r>
        <w:t>Les frais judiciaires de deuxième instance, arrêtés à 1'324 fr. (art. 62 al. 1 TFJC [tarif des frais judiciaires civils du 28 septembre 2010 ; RSV 270.11.5]), seront également mis à la charge de l’appelante à raison d’une demi, soit par 662 fr., et à la charge des intimés, solidairement entre eux, à raison d’une demi, soit par 662 fr. (art. 106 al. 1 CPC).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