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788 vom 18. September 2018</w:t>
      </w:r>
    </w:p>
    <w:p>
      <w:r>
        <w:t>VD Tribunal cantonal, 2018-09-18, FR</w:t>
      </w:r>
    </w:p>
    <w:p>
      <w:r>
        <w:rPr>
          <w:b/>
        </w:rPr>
        <w:t xml:space="preserve">Quelle: </w:t>
      </w:r>
      <w:r>
        <w:t>https://mcp.opencaselaw.ch/entscheid/vd_findinfo_HC___2018___788</w:t>
      </w:r>
    </w:p>
    <w:p>
      <w:r>
        <w:t>FR: VD_FINDINFO HC / 2018 / 788 du 18 septembre 2018</w:t>
      </w:r>
    </w:p>
    <w:p>
      <w:r>
        <w:t>IT: VD_FINDINFO HC / 2018 / 788 del 18 settembre 2018</w:t>
      </w:r>
    </w:p>
    <w:p>
      <w:pPr>
        <w:pStyle w:val="Heading2"/>
      </w:pPr>
      <w:r>
        <w:t>Regeste</w:t>
      </w:r>
    </w:p>
    <w:p>
      <w:r>
        <w:t>DÉCISION DE RENVOI, BAIL À LOYER, RÉNOVATION D'IMMEUBLE | 271 al. 1 CO</w:t>
      </w:r>
    </w:p>
    <w:p>
      <w:pPr>
        <w:pStyle w:val="Heading2"/>
      </w:pPr>
      <w:r>
        <w:t>Erwägungen</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 561/2011 du 19 mars 2012 consid. 4.1).</w:t>
      </w:r>
    </w:p>
    <w:p>
      <w:r>
        <w:rPr>
          <w:b/>
        </w:rPr>
        <w:t>E. 1.2</w:t>
      </w:r>
    </w:p>
    <w:p>
      <w:r>
        <w:t>En l’espèce, la cause a été renvoyée à la cour de céans pour qu’elle instruise elle-même, ou fasse instruire par le Tribunal des baux, les questions de la nécessité et de l’urgence de procéder au remplacement des installations sanitaires et de l’urgence de procéder au remplacement des installations sanitaires et de remettre la cuisine et les salles d’eau aux standards actuels. Dans le délai fixé aux parties pour se déterminer sur la suite de la procédure, le bailleur a produit des pièces qui prouvent peut-être la nécessité et l'urgence de certains de ces travaux, mais pas la totalité. Pour juger de la nécessité et de l'urgence de faire des travaux pour maintenir l'utilité et la valeur actuelles de la cuisine, par exemple, ces pièces ne suffisent pas. Une inspection locale est indispensable. Il convient dès lors d'annuler le jugement et de renvoyer la cause au Tribunal des baux pour complément d'instruction et nouveau jugement dans le sens des considérants du Tribunal fédéral.</w:t>
      </w:r>
    </w:p>
    <w:p>
      <w:r>
        <w:rPr>
          <w:b/>
        </w:rPr>
        <w:t>E. 2.1</w:t>
      </w:r>
    </w:p>
    <w:p>
      <w:r>
        <w:t>Il résulte de ce qui précède que l’appel de B.P.________ doit être rejeté, tandis que celui de A.P.________ doit être admis. Le jugement sera réformé aux chiffres I à III de son dispositif en tant qu’il concerne B.P.________. Il sera pour le surplus annulé et la cause renvoyée au Tribunal des baux pour nouvelle instruction et nouveau jugement sur les conclusions prises par ou contre A.P.________, dans le sens des considérants.</w:t>
      </w:r>
    </w:p>
    <w:p>
      <w:r>
        <w:rPr>
          <w:b/>
        </w:rPr>
        <w:t>E. 2.2</w:t>
      </w:r>
    </w:p>
    <w:p>
      <w:r>
        <w:t>Les frais judiciaires de deuxième instance, arrêtés à 1'545 fr. (art. 62 al. 1 TFJC [tarif des frais judiciaires civils du 28 septembre 2010, RSV 270.11.5]), seront mis à concurrence de 772 fr. 50 à la charge de l’appelant B.P.________ qui succombe contre l’intimé W.________ (art. 106 al. 1 CPC) et à concurrence de 772 fr. 50 à la charge de l’intimé W.________ qui succombe contre l’appelant A.P.________ (art. 106 al. 1 CPC).</w:t>
      </w:r>
    </w:p>
    <w:p>
      <w:r>
        <w:rPr>
          <w:b/>
        </w:rPr>
        <w:t>E. 2.3</w:t>
      </w:r>
    </w:p>
    <w:p>
      <w:r>
        <w:t>S’agissant des dépens, au vu de l’issue du litige et de l’ampleur des observations de l’intimé W.________ du 25 juin 2018, l’appelant B.P.________ versera à l’intimé W.________ la somme de 700 fr. (art. 7 TDC [tarif des dépens en matière civile du 23 novembre 2010 ; RSV 270.11.6]), à titre de dépens de deuxième instance, somme qui représente la moitié des frais d’avocat de l’intimé. Quant à l’intimé W.________, il versera à l’appelant A.P.________ la somme de 1'000 fr. à titre de dépens de deuxième instance (art. 7 TDC), laquelle représente la moitié des frais d’avocat de l’appelant. A ce montant s’ajoutera la restitution de l’avance de frais à concurrence de 772 fr. 50. Il ne sera pas alloué de dépens de deuxième instance à l’intimée L.________, qui s’en est remise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