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736 vom 28. August 2018</w:t>
      </w:r>
    </w:p>
    <w:p>
      <w:r>
        <w:t>VD Tribunal cantonal, 2018-08-28, FR</w:t>
      </w:r>
    </w:p>
    <w:p>
      <w:r>
        <w:rPr>
          <w:b/>
        </w:rPr>
        <w:t xml:space="preserve">Quelle: </w:t>
      </w:r>
      <w:r>
        <w:t>https://mcp.opencaselaw.ch/entscheid/vd_findinfo_HC___2018___736</w:t>
      </w:r>
    </w:p>
    <w:p>
      <w:r>
        <w:t>FR: VD_FINDINFO HC / 2018 / 736 du 28 août 2018</w:t>
      </w:r>
    </w:p>
    <w:p>
      <w:r>
        <w:t>IT: VD_FINDINFO HC / 2018 / 736 del 28 agosto 2018</w:t>
      </w:r>
    </w:p>
    <w:p>
      <w:pPr>
        <w:pStyle w:val="Heading2"/>
      </w:pPr>
      <w:r>
        <w:t>Regeste</w:t>
      </w:r>
    </w:p>
    <w:p>
      <w:r>
        <w:t>COURTAGE, PRINCIPE DE LA CONFIANCE{INTERPRÉTATION DU CONTRAT}, FORME ÉCRITE | 16 al. 1 CO, 18 CO, 412 CO, 413 CO</w:t>
      </w:r>
    </w:p>
    <w:p>
      <w:pPr>
        <w:pStyle w:val="Heading2"/>
      </w:pPr>
      <w:r>
        <w:t>Erwägungen</w:t>
      </w:r>
    </w:p>
    <w:p>
      <w:r>
        <w:rPr>
          <w:b/>
        </w:rPr>
        <w:t>E. 5.1</w:t>
      </w:r>
    </w:p>
    <w:p>
      <w:r>
        <w:t>L’appelante affirme que le contrat des 1 er et 2 novembre 2012 n’aurait pas pu être modifié oralement, puisque la forme écrite y était réservée (cf. art. 12 du contrat). Elle y voit une violation de l’art. 16 al. 1 CO et prétend que le contrat initial aurait été maintenu, à tout le moins s’agissant de la question de la rémunération. Si un nouveau contrat avait été conclu, le tribunal de première instance aurait été incompétent, la clause de prorogation de for n’y étant pas maintenue. L’appelante reproche également aux premiers juges d’avoir violé les art. 8 CC (Code civil suisse du 10 décembre 1907 ; RS 210) et 55 CPC en considérant qu’il lui incombait de prouver que le contrat initial n’avait pas été modifié. Les intimés se réfèrent à nouveau aux déclarations de l’appelante à l’audience du 5 juillet 2017, dont il ressortirait qu’elle a admis que les parties avaient oralement décidé de redéfinir son rôle en avril 2013 (cf. supra consid. 3.1).</w:t>
      </w:r>
    </w:p>
    <w:p>
      <w:r>
        <w:rPr>
          <w:b/>
        </w:rPr>
        <w:t>E. 5.2.1</w:t>
      </w:r>
    </w:p>
    <w:p>
      <w:r>
        <w:t>Conformément à l’art. 16 al. 1 CO, les parties qui ont convenu de donner une forme spéciale à un contrat pour lequel la loi n'en exige point sont réputées n'avoir entendu se lier que dès l'accomplissement de cette forme. Les parties peuvent en tout temps convenir de supprimer ou de modifier la forme réservée (Xoudis, Commentaire romand, Code des Obligations I, 2 e éd., 2012 [cité ci-après : CR-CO I], n. 26 ad art. 16 CO et la réf. citée). Une suppression ou une modification de la forme réservée ne doit pas respecter la forme convenue (Xoudis, op. cit., n. 27 ad art. 16 CO). La partie qui se prévaut de la modification ou de la suppression d’une forme réservée pour en tirer un droit a le fardeau de la preuve (TF 4C.92/2002 du 19 août 2002 ; Xoudis, op. cit. n. 29 ad art. 16 CO).</w:t>
      </w:r>
    </w:p>
    <w:p>
      <w:r>
        <w:rPr>
          <w:b/>
        </w:rPr>
        <w:t>E. 5.2.2</w:t>
      </w:r>
    </w:p>
    <w:p>
      <w:r>
        <w:t>Aux termes de l'art. 8 CC, chaque partie doit, si la loi ne prescrit le contraire, prouver les faits qu'elle allègue pour en déduire son droit. Cette disposition répartit le fardeau de la preuve et détermine qui doit assumer les conséquences de l’échec de la preuve (ATF 132 III 689 consid. 4.5, rés. in JdT 2007 I 69, SJ 2007 I 185). Il en résulte que la partie demanderesse doit prouver les faits qui fondent sa prétention, tandis que la partie adverse doit prouver les faits qui entraînent l'extinction ou la perte du droit (ATF 139 III 7 consid. 2.2 et les réf. citées). Lorsque le juge ne parvient pas à constater un fait dont dépend le droit litigieux, il doit alors statuer au détriment de la partie qui aurait dû prouver ce fait (ATF 132 III 689 consid. 4.5 ; ATF 129 III 18 consid. 2. ; ATF 126 III 189 consid. 2b ; TF 5A_136/2009 du 19 novembre 2009 consid. 6.2.1). En revanche, lorsque tous les faits pertinents sont prouvés, il n’y a pas échec à la preuve, si bien que la question de la répartition du fardeau de la preuve ne se pose pas. En effet, lorsque le juge constate qu’un fait s’est produit ou ne s’est pas produit, il a atteint un résultat. Le fardeau de la preuve, en tant que règle légale, n’intervient que lorsque le juge ne parvient pas à une conviction, soit lorsqu’il n’est pas à même de déterminer si le fait s’est produit ou non (TF 4A_268/2016 du 14 décembre 2016 consid. 4.1 et les réf. citées).</w:t>
      </w:r>
    </w:p>
    <w:p>
      <w:r>
        <w:rPr>
          <w:b/>
        </w:rPr>
        <w:t>E. 5.3</w:t>
      </w:r>
    </w:p>
    <w:p>
      <w:r>
        <w:t>Les premiers juges ont considéré que l’ensemble de l’activité déployée par l’appelante jusqu’en octobre 2013 ne pouvait pas être appréhendée sous l’angle du contrat des 1 er et 2 novembre 2012. L’appelante avait en effet admis lors de son interrogatoire du 5 juillet 2017 que les parties avaient convenu de modifier le contrat précité au mois d’avril 2013. Les magistrats ont relevé qu’une telle manière de procéder ne sous-entendait pas nécessairement une résiliation préalable du contrat.</w:t>
      </w:r>
    </w:p>
    <w:p>
      <w:r>
        <w:rPr>
          <w:b/>
        </w:rPr>
        <w:t>E. 5.4</w:t>
      </w:r>
    </w:p>
    <w:p>
      <w:r>
        <w:t>En l’espèce, après avoir admis à l’audience du 5 juillet 2017 que les parties avaient oralement convenu de modifier leurs relations contractuelles en avril 2013, l’appelante plaide que le contrat des 1 er et 2 novembre 2012 n’a pas pu être modifié oralement, l’art. 12 du contrat prévoyant la formé écrite. Les intimés, de leur côté, ont allégué que le contrat n’avait pas été modifié, malgré les tentatives de l’appelante (all. 88). En effet, il ressort de l’instruction que Q.________ a proposé de verser 3 % du montant des investissements à l’appelante pour sa participation aux négociations, ce qui atteste du fait que des discussions ont eu cours s’agissant d’une modification des rapports contractuels entre les parties. Quoi qu’il en soit, aucune des parties n’a établi qu’un contrat, comportant tous les éléments essentiels, notamment la qualification du rapport contractuel et la rémunération de l’appelante, serait venu à chef, même oralement. Il n’est pas non plus établi que les parties auraient mis un terme au contrat des 1 er et 2 novembre 2012 sans avoir trouvé un nouvel accord. Dans ces circonstances, contrairement à ce qu’ont retenu les premiers juges, il y a lieu de considérer que le contrat initial n’a pas été résilié et que la question de l’absence de prorogation de fort devient sans objet. Toutefois, cela reste sans incidence sur l’issue de la cause, au vu des considérants suivants (cf. infra consid. 7.4).</w:t>
      </w:r>
    </w:p>
    <w:p>
      <w:r>
        <w:rPr>
          <w:b/>
        </w:rPr>
        <w:t>E. 6.1</w:t>
      </w:r>
    </w:p>
    <w:p>
      <w:r>
        <w:t>L’appelante soutient également que si le contrat avait été modifié en avril 2013, celui-ci aurait dû être qualifié de contrat de courtage de négociation et pas de contrat de mandat tel que retenu par les premiers juges. Les intimés relèvent que l’appelante n’aurait ni démontré ni allégué qu’elle aurait servi d’intermédiaire pour les négociations ou qu’elle les aurait conduites, si bien que les conditions d’un courtage de négociation s’agissant de l’activité de l’appelante après le mois d’avril 2013 ne seraient pas remplies.</w:t>
      </w:r>
    </w:p>
    <w:p>
      <w:r>
        <w:rPr>
          <w:b/>
        </w:rPr>
        <w:t>E. 6.2</w:t>
      </w:r>
    </w:p>
    <w:p>
      <w:r>
        <w:t>Puisqu’il n’est pas établi que le contrat aurait été modifié en avril 2013 (cf. supra consid. 5.4), l’argumentation de l’appelante tombe à faux et l’analyse de son moyen devient superflue.</w:t>
      </w:r>
    </w:p>
    <w:p>
      <w:r>
        <w:rPr>
          <w:b/>
        </w:rPr>
        <w:t>E. 7.1</w:t>
      </w:r>
    </w:p>
    <w:p>
      <w:r>
        <w:t>L’appelante se plaint finalement d’une violation de l’art. 413 CO. Selon l’appelante, il appartiendrait aux intimés de prouver l’absence de lien psychologique entre ses efforts et la décision d’A.________ et de L.________ d’investir. Ce serait principalement grâce aux efforts qu’elle a fournis, en particulier grâce aux activités entreprises après le mois d’avril 2013, que les prénommés auraient eu la volonté d’investir dans la société G.________. Elle fait valoir que la société C.________, dont I.________ était détenteur, interagissait avec G.________ uniquement à titre de revendeuse, de sorte que ce serait elle qui aurait introduit le prénommé en tant qu’investisseur potentiel. Selon les intimés, le droit à l’obtention d’une commission par l’appelante ne devrait être examiné que sous l’angle du contrat des 1 er et 2 novembre 2012, sans tenir compte de ses activités annexes. Dès lors que ce ne serait pas l’appelante qui leur aurait présenté les investisseurs, elle n’aurait droit à aucune commission.</w:t>
      </w:r>
    </w:p>
    <w:p>
      <w:r>
        <w:rPr>
          <w:b/>
        </w:rPr>
        <w:t>E. 7.2</w:t>
      </w:r>
    </w:p>
    <w:p>
      <w:r>
        <w:t>Aux termes de l’art. 413 al. 1 CO, le courtier a droit à son salaire dès que l’indication qu’il a donnée ou la négociation qu’il a conduite a abouti à la conclusion du contrat. Pour prétendre à un salaire, le courtier doit prouver, d'une part, qu'il a agi et, d'autre part, que son intervention a été couronnée de succès (ATF 131 III 268 consid. 5.1.2, SJ 2005 I 401 ; ATF 124 III 481 consid. 3a, JdT 1999 I 455 ; TF 4A_401/2012 du 16 octobre 2012 consid. 4). Le courtier est en principe appelé à développer une activité factuelle, consistant à trouver un amateur qui se portera cocontractant du mandant et/ou à négocier l'affaire pour le compte de celui-ci (ATF 131 III 268 consid. 5.1.2). Il faut que le contrat que le mandant cherchait à obtenir ait été conclu et qu'il existe un lien de causalité entre l'activité du courtier et la conclusion du contrat. Il n'est pas nécessaire que la conclusion du contrat principal soit la conséquence immédiate de l'activité fournie. Il suffit que celle-ci ait été une cause même éloignée de la décision du tiers satisfaisant à l'objectif du mandant ; en d'autres termes, la jurisprudence se contente d'un lien psychologique entre les efforts du courtier et la décision du tiers, lien qui peut subsister malgré une rupture des pourparlers (TF 4A_337/2011 du 15 novembre 2011 consid. 2.1 ; TF 4A_155/2008 du 24 avril 2008 consid. 3.1 ; TF 4C.93/2006 du 14 juillet 2006 consid. 2.1 ; TF 4C.259/2005 du 14 décembre 2005 consid. 2 ; ATF 84 II 542 consid. 5 ; ATF 76 II 378 consid. 2 ; ATF 72 II 84 consid. 2). En matière de courtage d'indication, la conclusion du contrat principal est dans un rapport de causalité avec l'activité de courtage si le courtier prouve qu'il a été le premier à désigner, comme s'intéressant à l'affaire, la personne qui a investi par la suite et que c'est précisément sur la base de cette indication que les parties sont entrées en relation et ont conclu le marché (TF 4A_337/2011 du 15 novembre 2011 consid. 2.1 ; TF 4C.136/2004 du 13 juillet 2004 consid. 3.3.1 non publié à l’ATF 130 III 633 ; TF 4C.333/2000 du 28 mars 2001 consid. 2d/bb ; ATF 75 II 53 consid. 1a, JdT 1949 I 468 ; ATF 72 II 84 consid. 2, JdT 1946 I 558 ; Marquis, op. cit., pp. 437 ss ; Rayroux, CR-CO I, nn. 19 ss ad art. 413 CO). Il faut à cet égard que le courtier communique au mandant une occasion de conclure qui lui était inconnue jusque-là, étant précisé qu’il suffit que le mandant ait ignoré que le tiers était intéressé à la conclusion d’un tel contrat (Marquis, op. cit., p. 439).</w:t>
      </w:r>
    </w:p>
    <w:p>
      <w:r>
        <w:rPr>
          <w:b/>
        </w:rPr>
        <w:t>E. 7.3</w:t>
      </w:r>
    </w:p>
    <w:p>
      <w:r>
        <w:t>Les premiers juges ont considéré que les conditions prévues aux lettres b et c de l’art. 3 du contrat des 1 er et 2 novembre 2012 étaient remplies, respectivement que le succès des négociations était établi. Toutefois, s’agissant de la condition prévue à la lettre a de la disposition susmentionnée, l’appelante échouait à démontrer qu’elle aurait contacté I.________, A.________ et/ou L.________, respectivement [...], et échangé des informations relatives à G.________ avec ces derniers, à tout le moins avant qu’ils entament des discussions avec les intimés. Ils ont relevé que l’appelante avait elle-même admis, lors de l’audience du 5 juillet 2017 qu’ « en un sens », il était exact que les intimés avaient rencontré A.________ et L.________ par l’intermédiaire d’I.________, fondateur de la société C.________, qui était déjà en relation d’affaires avec G.________ depuis plusieurs années et dont A.________ et L.________ étaient actionnaires. Il avait d’ailleurs été confirmé par I.________ qu’A.________ et L.________ avaient rencontré Q.________ par son intermédiaire. L’appelante avait également déclaré que la « vraie rencontre » s’était faite à [...], par introduction de L.________ ( recte : A.________) et non de la sienne. Cela étant, l’appelante n’avait pas prouvé avoir « introduit » les investisseurs auprès des intimés, si bien qu’aucune commission de courtage ne lui était due.</w:t>
      </w:r>
    </w:p>
    <w:p>
      <w:r>
        <w:rPr>
          <w:b/>
        </w:rPr>
        <w:t>E. 7.4</w:t>
      </w:r>
    </w:p>
    <w:p>
      <w:r>
        <w:t>En l’espèce, c’est à raison que les premiers juges ont considéré que l’appelante n’avait droit à aucune commission du chef de la conclusion du contrat d’investissement. En effet, celle-ci n’a pas démontré qu’elle était entrée en contact avec I.________, A.________ et/ou L.________, respectivement [...] avant le début des négociations. Au contraire, l’appelante a elle-même admis qu’elle n’avait pas introduit les investisseurs auprès des intimés, ce qui a notamment été confirmé par I.________ et Q.________. L’on ne saurait dès lors considérer que les intimés et les futurs investisseurs étaient entrés en discussions après que l’appelante les avait mis en relation. Cela étant, force est de constater que les conditions de l’art. 3 let. a et c du contrat des 1 er et 2 novembre 2012 ne sont pas remplies, ce qui exclut le versement à l’appelante d’une commission au sens de l’art. 6 du contrat précité. L’argumentation de l’appelante s’agissant des efforts qu’elle avait fournis en vue de la négociation, en particulier après le mois d’avril 2013, ne lui est d’aucun secours. En effet, comme rappelé ci-avant, en matière de courtage d'indication, la conclusion du contrat principal est dans un rapport de causalité avec l'activité de courtage si le courtier prouve qu'il a été le premier à désigner, comme s'intéressant à l'affaire, la personne qui a investi par la suite et que c'est précisément sur la base de cette indication que les parties sont entrées en relation et ont conclu le marché. Ainsi, quand bien même l’appelante aurait participé aux négociations après que les intimés étaient entrés en contact avec les investisseurs, il n’en demeure pas moins que ce n’est pas elle qui a présenté les investisseurs aux intimés. Pour le surplus, l’appelante ne saurait être suivie lorsqu’elle prétend qu’I.________ interagissait avec la société uniquement s’agissant de la revente de produits, puisqu’il ne ressort pas de l’instruction qu’elle serait entrée en contact avec le prénommé.</w:t>
      </w:r>
    </w:p>
    <w:p>
      <w:r>
        <w:rPr>
          <w:b/>
        </w:rPr>
        <w:t>E. 8.1</w:t>
      </w:r>
    </w:p>
    <w:p>
      <w:r>
        <w:t>Compte tenu de ce qui précède, l’appel doit être rejeté et le jugement entrepris confirmé.</w:t>
      </w:r>
    </w:p>
    <w:p>
      <w:r>
        <w:rPr>
          <w:b/>
        </w:rPr>
        <w:t>E. 8.2</w:t>
      </w:r>
    </w:p>
    <w:p>
      <w:r>
        <w:t>L’appel n’étant pas dénué de toute chance de succès et l’appelante ayant démontré qu’elle ne disposait pas de ressources suffisantes, il y a lieu d’admettre la requête d’assistance judiciaire formée par celle-ci et de désigner Me Anne-Luce Julsaint Buonomo en qualité de conseil d’office, avec effet au 27 février 2018.</w:t>
      </w:r>
    </w:p>
    <w:p>
      <w:r>
        <w:rPr>
          <w:b/>
        </w:rPr>
        <w:t>E. 8.3</w:t>
      </w:r>
    </w:p>
    <w:p>
      <w:r>
        <w:t>Les frais judiciaires de deuxième instance, arrêtés à 5'300 fr. (art. 62 TFJC [tarif des frais judiciaires civils du 28 septembre 2010 ; RSV 270.11.5]), seront mis à la charge de l’appelante J.________, qui succombe (art. 106 al. 1 CPC), et provisoirement laissés à la charge de l’Etat compte tenu de l’assistance judiciaire (art. 122 al. 1 let. b CPC).</w:t>
      </w:r>
    </w:p>
    <w:p>
      <w:r>
        <w:rPr>
          <w:b/>
        </w:rPr>
        <w:t>E. 8.4</w:t>
      </w:r>
    </w:p>
    <w:p>
      <w:r>
        <w:t>Dans sa liste des opérations du 8 août 2018, l’avocate Anne-Luce Julsaint Buonomo indique avoir consacré 16 heures 05 à la procédure de deuxième instance. Elle annonce également des débours par 15 francs. Il convient de réduire de 2 heures la durée annoncée pour l’examen de la motivation du jugement et pour des recherches le 26 mars 2018, au vu de la durée de rédaction de l’appel prise en compte à hauteur de 7 heures 35. On réduira également la durée des opérations de 20 minutes pour les postes intitulés « envoi d’une copie » les 30 avril et 8 mai 2018, les avis de transmission ou « mémos » ne peuvant pas être pris en compte à titre d’activité déployée par l’avocat, s’agissant de travail de secrétariat inclus dans les frais généraux de l’avocat (Juge délégué CACI 8 juin 2015/283 consid. 4). Il s’ensuit qu’au tarif horaire de 180 fr. hors TVA (art. 2 al. 1 let. a et b RAJ [règlement sur l'assistance judiciaire en matière civile du 7 décembre 2010 ; RSV 211.02.3]), l’indemnité de Me Anne-Luce Julsaint Buonomo sera arrêtée, pour la période du 27 février au 6 juillet 2018, à 2'475 fr. (13 h 45 [16 h 05 – 2 h 20] x 180 fr.), montant auquel il faut ajouter 15 fr. à titre de débours et la TVA de 7,7 % sur le tout, par 191 fr. 75, ce qui donne un total de 2'681 fr. 75.</w:t>
      </w:r>
    </w:p>
    <w:p>
      <w:r>
        <w:rPr>
          <w:b/>
        </w:rPr>
        <w:t>E. 8.5</w:t>
      </w:r>
    </w:p>
    <w:p>
      <w:r>
        <w:t>La bénéficiaire de l'assistance judiciaire est, dans la mesure de l'art. 123 CPC, tenue au remboursement des frais judiciaires et de l'indemnité du conseil d'office mis à la charge de l'Etat.</w:t>
      </w:r>
    </w:p>
    <w:p>
      <w:r>
        <w:rPr>
          <w:b/>
        </w:rPr>
        <w:t>E. 8.6</w:t>
      </w:r>
    </w:p>
    <w:p>
      <w:r>
        <w:t>Vu l’issue du litige et au vu de la disproportion entre la fourchette prévue par le tarif et l’ampleur de la réponse, J.________ versera à Q.________ et à G.________, créanciers solidaires, la somme de 2'000 fr. (art. 7 et 20 al. 2 TDC [tarif des dépens en matière civile du 23 novembre 2010 ; RSV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