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708 vom 21. Juni 2018</w:t>
      </w:r>
    </w:p>
    <w:p>
      <w:r>
        <w:t>VD Tribunal cantonal, 2018-06-21, FR</w:t>
      </w:r>
    </w:p>
    <w:p>
      <w:r>
        <w:rPr>
          <w:b/>
        </w:rPr>
        <w:t xml:space="preserve">Quelle: </w:t>
      </w:r>
      <w:r>
        <w:t>https://mcp.opencaselaw.ch/entscheid/vd_findinfo_HC___2018___708</w:t>
      </w:r>
    </w:p>
    <w:p>
      <w:r>
        <w:t>FR: VD_FINDINFO HC / 2018 / 708 du 21 juin 2018</w:t>
      </w:r>
    </w:p>
    <w:p>
      <w:r>
        <w:t>IT: VD_FINDINFO HC / 2018 / 708 del 21 giugno 2018</w:t>
      </w:r>
    </w:p>
    <w:p>
      <w:pPr>
        <w:pStyle w:val="Heading2"/>
      </w:pPr>
      <w:r>
        <w:t>Regeste</w:t>
      </w:r>
    </w:p>
    <w:p>
      <w:r>
        <w:t>JUGEMENT PAR DÉFAUT, DROIT D'ÊTRE ENTENDU, VENTE | 153 al. 2 CPC (CH), 223 al. 2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a contrario CPC). Le délai de recours est en principe de trente jours à compter de la notification de la décision ou de la notification postérieure de la motivation (art. 321 al. 1 CPC).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CREC 11 juillet 2014/238). Toutefois, lorsque la partie invoque une violation de son droit d’être entendu et conclut à l’annulation, l’appel – respectivement le recours – est recevable, sans que des conclusions réformatoires ne soient exigées (TF 5A_485/2016 du 19 décembre 2016 consid. 2.3).</w:t>
      </w:r>
    </w:p>
    <w:p>
      <w:r>
        <w:rPr>
          <w:b/>
        </w:rPr>
        <w:t>E. 1.2</w:t>
      </w:r>
    </w:p>
    <w:p>
      <w:r>
        <w:t>En l’espèce, déposé en temps utile par une partie qui a un intérêt digne de protection (art. 59 al. 2 let. a CPC) et portant sur des conclusions d’une valeur litigieuse inférieure à 10'000 fr., le recours est recevable. On précisera qu’à l’appui de ses conclusions en annulation, la recourante invoque une violation de son droit d’être entendu, ce qui les rend recevables au regard des exigences relatives aux conclusions telles que rappelées ci-dessus, l’intéressée concluant de toute manière à titre subsidiaire valablement à la réforme du jugement attaqué.</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w:t>
      </w:r>
    </w:p>
    <w:p>
      <w:r>
        <w:t>La recourante se prévaut d'une constatation inexacte des faits en reprochant au premier juge d'avoir retenu que l'intimé disposait de la légitimation active et que la somme de 4'400 fr. avait été versée sur son compte. En réalité, en tant qu'elle conteste la légitimation active de l'intimé, la recourante soulève une question de droit. Quant à l'absence de preuve du paiement de 4'400 fr., elle ressortit à l'appréciation des preuves et se confond en l'occurrence avec le grief de l'application erronée des art. 150, 153 al. 2 et 223 al. 2 CPC, moyens qui seront examinés en droit.</w:t>
      </w:r>
    </w:p>
    <w:p>
      <w:r>
        <w:rPr>
          <w:b/>
        </w:rPr>
        <w:t>E. 4.1</w:t>
      </w:r>
    </w:p>
    <w:p>
      <w:r>
        <w:t>La recourante se prévaut d'une violation de son droit d'être entendu, en ce sens que le premier juge n'aurait pas motivé en droit l'adjudication des conclusions au fond de la demande, plus particulièrement le fondement juridique de la créance, se limitant à motiver en droit sa compétence ratione fori et materiae , ainsi qu'à se référer au défaut de réponse et à ses conséquences.</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 En procédure civile, le droit d'être entendu trouve son expression à l'art. 53 al. 1 CPC, qui reprend la formulation générale de l'art. 29 al. 2 Cst. (ATF 142 III 48 consid. 4.1.1). Le droit d'être entendu, garanti par l'art. 53 al. 1 CPC, confère à toute partie à une procédure le droit d'être informée et entendue avant qu'une décision ne soit prise à son sujet. S'agissant d'une garantie constitutionnelle de nature formelle, sa violation entraîne l'annulation de la décision attaquée sans égard aux chances de succès du recours sur le fond (ATF 133 I 201 consid. 2.2 ; ATF 132 V 387 consid. 5.1 et la référence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6B_76/2011 du 31 mai 2011 ; TF 2F_20/2005 du 13 avril 2005 et les références citées).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142 II 154 consid. 4.2 ; ATF 139 IV 179 consid. 2.2 ; ATF 138 I 232 consid. 5.1). L'essentiel est que la décision indique clairement les faits qui sont établis et les déductions juridiques qui sont tirées de l'état de fait déterminant (ATF 141 IV 244 consid. 1.2.1 ; ATF 135 II 145 consid. 8.2 et les références citées). La motivation peut être implicite et résulter des différents considérants de la décision (ATF 141 V 557 consid. 3.2.1 ; TF 2C_2312009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ATF 126 I 97 consid. 2b ; ATF 125 III 440 consid. 2a).</w:t>
      </w:r>
    </w:p>
    <w:p>
      <w:r>
        <w:rPr>
          <w:b/>
        </w:rPr>
        <w:t>E. 4.3</w:t>
      </w:r>
    </w:p>
    <w:p>
      <w:r>
        <w:t>La décision attaquée expose en fait que l'intimé, domicilié en [...], acquiert des véhicules pour les importer dans son pays, que par l'intermédiaire de sa sœur, l'intéressé a versé un montant de 4'400 fr. à la recourante pour l'acquisition d'un véhicule d'occasion de marque [...] offert à la vente par la recourante sur un site Internet, laquelle l'avait préalablement acquis de la société U.________ Sàrl, que lors de l'exportation du véhicule vers la [...], celui-ci a été séquestré par les douanes [...] au motif qu'il avait été volé et faisait l'objet d'un signalement [...] depuis le 12 août 2009 dans les banques de données SIS et ASF, que l'intimé avait eu recours à un avocat genevois parlant le [...] pour tenter de débloquer la situation, en vain, le véhicule ayant été restitué à son propriétaire [...], que les 21 juin, 4 et 19 juillet 2016, l'intimé avait sollicité en vain de la recourante le remboursement de la somme de 4'400 fr., que le 1 er septembre 2016, il avait fait notifier un commandement de payer portant sur la somme correspondante, avec intérêts à 5% l'an dès le 18 janvier 2016, ainsi que sur les frais de poursuite par 73 fr. 30, au titre de « vente d'une [...], éviction selon art. 192 CO », ce à quoi la recourante avait fait opposition totale, que l'intimé avait ensuite réclamé en vain de celle-ci, en date des 25 janvier, ainsi que 3, 8 et 22 février 2017, les frais d'intervention de son avocat genevois, par 600 fr., qu'à la suite de l'échec de la conciliation préalable, une autorisation de procéder avait été délivrée et avait débouché sur l'introduction, le 2 mai 2017, d'une demande par laquelle l'intimé avait conclu, avec suite de frais et dépens, à ce que la recourante lui doive paiement des sommes de 4'400 fr. avec intérêts à 5% l'an dès le 18 janvier 2016, de 600 fr. avec intérêts à 5% l'an dès le dépôt de la demande, ainsi que de 1'910 fr. avec intérêts à 5% l'an dès le dépôt de la demande au titre des frais et dépens de la procédure de conciliation préalable et à ce que la mainlevée définitive de l'opposition formée au commandement de payer soit prononcée, que la demande avait été notifiée à la recourante avec un délai de réponse et qu'un délai supplémentaire non prolongeable lui avait été imparti avec la signification qu'à défaut de réponse, l'instance suivrait son cours et qu'une décision finale pourrait être rendue si la cause était en état d'être jugée, que la recourante n'avait pas procédé et que le dispositif avait été rendu et adressé pour notification le 14 novembre 2017, dont la défenderesse avait requis la motivation le 22 novembre suivant. En droit, la décision attaquée considère que la motivation a été requise en temps utile, puis que le premier juge était compétent ratione materiae et ratione fori pour connaître du litige, qu'en application des art. 150 al. 1 et 223 al. 2 CPC, force était de constater que les faits allégués par l'intimé à l'appui ses conclusions en paiement des montants de 4'400 fr. et de 600 fr. n'avaient pas été contestés et que les pièces au dossier ne permettaient pas de douter de leur véracité, de sorte qu'ils paraissaient démontrés et devaient être retenus, que la recourante n'ayant pas procédé malgré qu'elle avait été rendue attentive aux conséquences du défaut, il en résultait que l'intimé établissait à satisfaction le principe et la quotité de sa créance et était en droit de réclamer les montants de 4'400 fr. et de 600 fr. à la recourante, laquelle n'avait opposé aucun moyen libératoire pertinent, que s'agissant des honoraires réclamés à titre de dépens pour la procédure de conciliation, par 1'700 fr., l'art. 113 al. 1 CPC s'opposait à l'adjudication de cette conclusion, aucune exception n'étant réalisée, qu'à l'inverse, l'intimé pouvait prétendre au remboursement de ses frais judiciaires de conciliation, par 210 fr., que l'intérêt moratoire était dû dès le lendemain de l'échéance de paiement fixée pour la somme de 4'400 fr., soit dès le 28 février 2017, tandis que la somme de 600 fr. portait intérêt dès le lendemain de la demande en justice, soit dès le 3 mai 2017, que la mainlevée d'opposition devait être prononcée dans la poursuite en cause, à concurrence du montant de 4'400 fr. avec intérêts à 5% l'an dès le 28 février 2017 et, enfin, que les frais devaient être mis à la charge de la recourante, laquelle rembourserait par conséquent à l'intimé son avance des frais judiciaires de la procédure au fond, par 300 fr., de même que ceux de la procédure de conciliation, par 210 fr. et lui verserait en outre des dépens, par 1'300 francs.</w:t>
      </w:r>
    </w:p>
    <w:p>
      <w:r>
        <w:rPr>
          <w:b/>
        </w:rPr>
        <w:t>E. 4.4</w:t>
      </w:r>
    </w:p>
    <w:p>
      <w:r>
        <w:t>Contrairement à ce qu'invoque la recourante, la motivation en droit de la décision attaquée ressort implicitement de la lecture des considérants en fait et en droit de celle-ci, en particulier de ce que la recourante avait vendu un véhicule à l'intimé, lequel en avait versé le prix par l'entremise de sa sœur, mais que l'exportation prévue du véhicule en [...], où l'intimé souhaitait l'importer, avait été tenue en échec par le fait que le véhicule était signalé comme volé, avait été séquestré par les autorités douanières [...], puis restitué à son (légitime, réd.) propriétaire, mais que ce nonobstant, les tentatives de l'intimé d'obtenir de la recourante la restitution du prix de vente étaient restées vaines. On comprend dès lors que la créance litigieuse est liée à la vente du véhicule dont l'intimé n'a jamais obtenu la livraison et que le premier juge a implicitement fait application des règles sur la garantie en cas d'éviction (art. 192 ss CO), plus particulièrement de l'art. 195 CO – lesquelles règles étaient d'ailleurs plaidées par l'intimé. Le grief de défaut de motivation de la décision attaquée est ainsi infondé et doit être rejeté. La recourante se prévaut certes du fait que le jugement entrepris n'aborde pas certains éléments d'extranéité incontestables, sans toutefois prétendre que l'examen de ces éléments aurait dû conduire le premier juge à décliner sa compétence, ni préciser quelle autre conséquence potentielle il eût fallu en tirer quant à la solution du litige, de sorte que sous cet angle également, le grief est irrecevable car insuffisamment motivé. En effet, selon l’art. 321 al. 1 CPC, le recours doit être motivé, ce qui signifie que le recourant doit démontrer le caractère erroné de la motivation de la décision attaquée (TF 5A_387/2016 du 7 septembre 2016 consid. 3.1 ; TF 5A_206/2016 du 1 er juin 2016 consid. 4.2.1 ; TF 5A_488/2015 du 15 août 2015 consid. 3.2.1) et expliquer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w:t>
      </w:r>
    </w:p>
    <w:p>
      <w:r>
        <w:rPr>
          <w:b/>
        </w:rPr>
        <w:t>E. 5.1</w:t>
      </w:r>
    </w:p>
    <w:p>
      <w:r>
        <w:t>Dans un deuxième moyen, la recourante fait valoir que les conditions d'application de l'art. 223 al. 2 CPC ne seraient pas remplies, notamment sous l'angle de la nécessité d'administrer néanmoins des preuves selon l'art. 153 al. 2 CPC. Elle invoque à cet égard le fait que certaines pièces contrediraient les faits tenus pour établis par le premier juge, soit en particulier le fait que le véhicule objet de l'offre de vente qu'elle avait publiée serait de couleur argent, alors que d'autres pièces produites en lien avec le véhicule supposé litigieux feraient état d'un véhicule de couleur violet, que le prix mentionné dans l'offre était de 4'999 fr., alors que le prix d'achat supposé avoir été versé était de 4'400 fr. et qu'un contrat de vente produit mentionnait un prix de 650 fr. et, enfin, que l'on ignorerait l'identité du titulaire du compte bancaire sur lequel la sœur de l'intimé aurait versé la somme de 4'400 fr. et que rien n'attesterait du fait que l'intimé aurait remboursé celle-ci. En définitive, la recourante fait valoir que les pièces produites par l'intimé tendraient à démontrer qu'un véhicule violet avait été vendu pour 650 fr., alors que les allégations de celui-ci reposaient sur un tout autre scénario, ce qui aurait dû conduire le premier juge à administrer des preuves d'office après avoir cité la cause aux débats principaux.</w:t>
      </w:r>
    </w:p>
    <w:p>
      <w:r>
        <w:rPr>
          <w:b/>
        </w:rPr>
        <w:t>E. 5.2</w:t>
      </w:r>
    </w:p>
    <w:p>
      <w:r>
        <w:t>Ainsi que l'autorité précédente l'a relevé, lorsque la partie défenderesse ne procède pas, les allégués de la partie demanderesse sont dispensés de preuve, puisqu'en application de l'art. 150 al. 1 CPC, seuls les faits contestés doivent être prouvés, cela sous la cautèle de l'art. 153 CPC. L'art. 153 al. 1 CPC réserve en effet les causes dans lesquelles les faits doivent être établis d'office – ce qui n'est pas le cas en l'occurrence –, tandis que l'al. 2 réserve les cas dans lesquels le tribunal peut administrer les preuves d'office lorsqu'il existe des motifs sérieux de douter de la véracité d'un fait non contesté. A cet égard, la jurisprudence a posé que le juge ne doit pas se montrer particulièrement regardant si aucun élément au dossier ne donne à penser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(CACI 26 novembre 2015/639 ; CACI 18 novembre 2014/595 ; CACI 13 juin 2014/324 consid. 4a, publié in JT 2014 III 165 et les références citées).</w:t>
      </w:r>
    </w:p>
    <w:p>
      <w:r>
        <w:rPr>
          <w:b/>
        </w:rPr>
        <w:t>E. 5.3</w:t>
      </w:r>
    </w:p>
    <w:p>
      <w:r>
        <w:t>En l'espèce, le premier juge était fondé à tenir les faits allégués et non contestés pour établis, ceux-ci étant dûment documentés par des pièces. En particulier, il ne fait pas de doute que le véhicule vendu par la recourante est identique à celui précédemment acquis par cette dernière de la société U.________ Sàrl, celle-ci l'ayant confirmé par mail du 24 mars 2016 au conseil du demandeur (P. 7) et le permis de circulation annulé (P. 6) en faisant également état. Par ailleurs, nonobstant la différence de couleur (gris, respectivement violet), il n'y a pas de doute sur l'identité du véhicule objet du contrat litigieux, le numéro d'homologation, soit «  [...] », étant identique à la fois dans l'annonce publiée par la recourante (P. 4), dans le permis de circulation annulé précité et dans la déclaration d'exportation douanière (P. 10), tandis que la couleur d'un véhicule est aisément modifiable, pratique au demeurant fréquente dans le commerce de véhicule d'occasions. Quant au fait que le contrat produit (P. 9), daté du 23 janvier 2016 et faisant état d'une vente du véhicule en question par U.________ Sàrl en tant que vendeur, à l'intimé en tant qu'acheteur, pour un prix de 650 fr., l'intimé a allégué qu'il n'était destiné qu'à la douane, ce qui est plausible eu égard à l'économie réalisée par ce biais sur les frais de douane. En tout état de cause, l'argument selon lequel le titulaire du compte sur lequel le prix de 4'400 fr. a été versé ne serait pas connu est téméraire : il est en effet établi que la sœur de l'intimé a viré la somme de 4'400 fr. valeur au 18 janvier 2016 sur le compte bancaire « [...] », selon justificatif de versement établi le jour même par [...], succursale de [...] (P. 8a), compte dont est titulaire le gérant de la recourante, [...] (cf. P. 3), selon photographie de la carte bancaire UBS Maestro libellée au nom de ce dernier et portant l'IBAN CH32 [...] (P. 8b) – étant rappelé que les lettres CH se réfèrent au pays, les deux chiffres suivant (en l'occurrence 32) à la clé de contrôle, les cinq chiffres suivant (en l'occurrence [...]) au numéro de clearing bancaire, tandis que seuls les douze dernières positions (soit [...]) correspondent au compte bancaire à proprement parler (cf. https://www.credit-suisse.com/media/assets/private-banking/docs/ch/privatkunden/konten-und-karten/zvr-iban-fr.pdf). Il résulte de ce qui précède que les pièces produites à l'appui des allégations de la demande n'étaient pas de nature à éveiller des doutes, a fortiori sérieux, chez le premier juge, lequel a considéré à raison que la cause était en état d'être jugée, sous l'angle conjoint des art. 150, 153 al. 2 a contrario et 223 al. 2 CPC. Le moyen doit être rejeté.</w:t>
      </w:r>
    </w:p>
    <w:p>
      <w:r>
        <w:rPr>
          <w:b/>
        </w:rPr>
        <w:t>E. 6.1</w:t>
      </w:r>
    </w:p>
    <w:p>
      <w:r>
        <w:t>La recourante soutient que l'intimé n'aurait pas disposé de la légitimation active, de sorte que ses conclusions auraient dû être rejetées.</w:t>
      </w:r>
    </w:p>
    <w:p>
      <w:r>
        <w:rPr>
          <w:b/>
        </w:rPr>
        <w:t>E. 6.2</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4A_155/2017 du 12 octobre 2017 consid. 4.1, publié in RSPC 2018 p. 19 ; TF 5A_398/2017 du 28 août 2017 consid. 4.1.3, publié in SJ 2018 I 73 ; TF 5A_193/2017 du 27 mars 2017 consid. 3.2). Il doit être examiné d'office, cependant uniquement sur la base des faits allégués en temps utile et prouvés, lorsque la maxime des débats est applicable (ATF 130 III 550 consid. 2 ; ATF 126 III 59 consid. 1a ; TF 5D_204/2016 du 15 mars 2017 consid. 3.2.2 ; TF 4A_619/2016 du 15 mars 2017 consid. 3 ; TF 5A_499/2015 du 20 janvier 2016 consid. 2.3). Il appartient au demandeur de prouver les faits sur lesquels il fonde sa qualité pour agir (TF 4A_145/2016 du 19 juillet 2016 consid. 4.1).</w:t>
      </w:r>
    </w:p>
    <w:p>
      <w:r>
        <w:rPr>
          <w:b/>
        </w:rPr>
        <w:t>E. 6.3</w:t>
      </w:r>
    </w:p>
    <w:p>
      <w:r>
        <w:t>En l'espèce, il ressort des allégations de fait de l'intimé, non contestées par la recourante et dont le premier juge n'avait pas de raison de douter de la véracité, que celui-ci a acquis de celle-là un véhicule pour un prix de 4'400 fr., mais que ledit véhicule n'a pas été livré en [...] comme cela était prévu, ayant été restitué par les autorités douanières à son légitime propriétaire qui l'avait déclaré volé. Dans ce contexte, en sa qualité d'acquéreur, l'intimé était légitimé à faire valoir les droits résultants du contrat de vente et notamment de la garantie en cas d'éviction des art. 192 ss CO, spécifiquement à solliciter la restitution du prix versé, sur la base de l'art. 195 al. 1 ch. 1 CO. Le moyen tiré de l'absence de légitimation active doit donc être également rejeté.</w:t>
      </w:r>
    </w:p>
    <w:p>
      <w:r>
        <w:rPr>
          <w:b/>
        </w:rPr>
        <w:t>E. 7.1</w:t>
      </w:r>
    </w:p>
    <w:p>
      <w:r>
        <w:t>En définitive, le recours doit être rejeté et le jugement confirmé</w:t>
      </w:r>
    </w:p>
    <w:p>
      <w:r>
        <w:rPr>
          <w:b/>
        </w:rPr>
        <w:t>E. 7.2</w:t>
      </w:r>
    </w:p>
    <w:p>
      <w:r>
        <w:t>Vu l’issue du recours, les frais judiciaires de deuxième instance, arrêtés à 200 fr. (art. 69 al. 1 TFJC [Tarif des frais judiciaires civils du 28 septembre 2010 ; RSV 270.11.5]), seront mis à la charge de la recourante (art. 106 al. 1 CPC), qui versera en outre à l’intimé de pleins dépens de deuxième instance, évalués à 800 fr. (art. 8 TDC [Tarif des dépens en matière civile du 23 novembre 2010 ; RSV 270.11.6]). Par ces motifs, la Chambre des recours civile du Tribunal cantonal, prononce : I. Le recours est rejeté. II. Le jugement est confirmé. III. Les frais judiciaires de deuxième instance, arrêtés à 200 fr. (deux cents francs), sont mis à la charge de la recourante N.________ Sàrl. IV. La recourante N.________ Sàrl versera à l’intimé B.________ la somme de 800 fr. (huit cents francs) à titre de dépens de deuxième instance. V. L’arrêt est exécutoire. Le président :               Le greffier : Du L'arrêt qui précède, dont la rédaction a été approuvée à huis clos, est notifié à : ‑ Me Nicolas Rochani (pour N.________ Sàrl), ‑ Me Christophe Schwarb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