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65 vom 9. Februar 2018</w:t>
      </w:r>
    </w:p>
    <w:p>
      <w:r>
        <w:t>VD Tribunal cantonal, 2018-02-09, FR</w:t>
      </w:r>
    </w:p>
    <w:p>
      <w:r>
        <w:rPr>
          <w:b/>
        </w:rPr>
        <w:t xml:space="preserve">Quelle: </w:t>
      </w:r>
      <w:r>
        <w:t>https://mcp.opencaselaw.ch/entscheid/vd_findinfo_HC___2018___65</w:t>
      </w:r>
    </w:p>
    <w:p>
      <w:r>
        <w:t>FR: VD_FINDINFO HC / 2018 / 65 du 9 février 2018</w:t>
      </w:r>
    </w:p>
    <w:p>
      <w:r>
        <w:t>IT: VD_FINDINFO HC / 2018 / 65 del 9 febbraio 2018</w:t>
      </w:r>
    </w:p>
    <w:p>
      <w:pPr>
        <w:pStyle w:val="Heading2"/>
      </w:pPr>
      <w:r>
        <w:t>Regeste</w:t>
      </w:r>
    </w:p>
    <w:p>
      <w:r>
        <w:t>PROTECTION DE L'UNION CONJUGALE, DROIT D'ÊTRE ENTENDU, ADMINISTRATION DES PREUVES, MINIMUM VITAL, PREUVE FACILITÉE | 229 al. 3 CPC (CH), 253 CPC (CH), 273 al. 1 CPC (CH)</w:t>
      </w:r>
    </w:p>
    <w:p>
      <w:pPr>
        <w:pStyle w:val="Heading2"/>
      </w:pPr>
      <w:r>
        <w:t>Erwägungen</w:t>
      </w:r>
    </w:p>
    <w:p>
      <w:r>
        <w:rPr>
          <w:b/>
        </w:rPr>
        <w:t>E. 15</w:t>
      </w:r>
    </w:p>
    <w:p>
      <w:r>
        <w:t>pièces – relatives à ses revenus et charges – et a complété sa requête de mesures protectrices du 27 juillet 2017 par l’ajout des allégués 52 à 61, tous en relation avec sa situation économique telle qu’elle ressortait des pièces produites précitées. c) À l’occasion de l’audience de mesures protectrices de l’union conjugale du 15 août 2017, le conseil d’A.Y.________ a requis le renvoi de l’audience au motif qu’il avait reçu le matin même les déterminations de la partie adverse, accompagnées d’un bordereau de pièces dont il n’avait pu prendre connaissance étant en audience dans le cadre d’un autre mandat ce matin-là. La présidente du tribunal d’arrondissement a refusé de renvoyer les débats. Elle a suspendu l’audience durant dix minutes afin de permettre au conseil d’A.Y.________ de prendre connaissance des déterminations et des pièces produites par la partie adverse. Durant l’audience, les parties ont signé une convention partielle, ratifiée séance tenante par la présidente du tribunal d’arrondissement pour valoir ordonnance partielle de mesures protectrices de l’union conjugale, dont la teneur est la suivante : "I. Parties conviennent de vivre séparées pour une durée indéterminée, étant précisé qu'elles ont suspendu la vie commune dès le 1 er août 2017. II. La jouissance du domicile conjugal, sis [...], est attribuée à A.Y.________, qui en payera tous les frais. III. Parties renoncent à des dépens." 3. La situation économique des parties est la suivante : a) A.Y.________, qui était enseignant spécialisé, a pris une retraite anticipée dès le mois d’août 2015, soit à l’âge de 58 ans. Il perçoit une rente mensuelle de 5'590 fr. 80 de la Caisse de pensions de l’Etat de Vaud. Il a par ailleurs hérité d’une fortune conséquente au décès de son père et il bénéficie des revenus de cette fortune, estimés à 669 fr. 20 par mois. Son revenu mensuel net global s’élève ainsi à 6'260 francs. Ses charges incompressibles sont les suivantes : - Base mensuelle selon normes OPF 1’200 fr. 00 - Prime d’assurance-maladie LAMal 422 fr. 50 - Intérêts hypothécaires BCV 400 fr. 00 - Frais de chauffage 383 fr. 40 - Frais d’entretien de la chaudière 44 fr. 70 - Frais de ramonage 12 fr. 90 - Prime d’assurance ECA 71 fr. 95 - Impôt foncier</w:t>
      </w:r>
    </w:p>
    <w:p>
      <w:r>
        <w:rPr>
          <w:b/>
        </w:rPr>
        <w:t>E. 16</w:t>
      </w:r>
    </w:p>
    <w:p>
      <w:r>
        <w:t>fr. 40 - frais d’entretien piscine 87 fr. 00 - acomptes d’impôts 1'878 fr. 85 Total 4'517 fr. 70 Ces montants appellent les précisions suivantes : comme on le verra ci-dessous (cf. consid. 4.2.3 infra), les frais d’entretien de la piscine doivent être pris en considération dans le budget d’A.Y.________ au même titre que les autres frais d’entretien du domicile dont les parties sont copropriétaires dans la mesure où ils sont établis et qu’ils contribuent au maintien de la valeur du bien immobilier. En outre, la charge d’impôts alléguée doit également être prise en compte puisqu’elle est établie à satisfaction de droit. Une fois ses charges incompressibles assumées, A.Y.________ dispose encore d’un montant disponible de 1'742 fr. 30 (6'260 fr. - 4'517 fr. 70). b) B.Y.________ travaille comme ergothérapeute indépendante à 80% en ville de Payerne, répartissant ce taux à raison de 50% au traitement de ses patients au sein de son cabinet et à 30% à la rédaction de bilans de santé et à la visite des patients à domicile ou dans des écoles. Elle reçoit ainsi un maximum de seize patients par semaine et pratique un tarif de 130 fr. par séance. Il ressort des pièces comptables et des documents fournis par B.Y.________ qu’entre 2012 et 2016, son revenu mensuel moyen net s’élevait à 3'083 fr. 25. À compter du 22 août 2016, [...], ergothérapeute indépendante a travaillé dans le cabinet de B.Y.________ à raison d’un jour par semaine, ce qui lui permettait de recevoir sept patients par semaine. [...] a signé avec B.Y.________ un contrat de collaboration prévoyant notamment ce qui suit : « (…) Engagement financier : Mme [...] s’engage à verser à Mme B.Y.________ 22% de son chiffre d’affaire brut réalisé avec les prises en charges des patients de son cabinet. Elle s’engage à verser 580 fr. chaque fin de mois, dès septembre 2016 et jusqu’à fin juin 2017, en tant que participation fixe aux frais. Un décompte définitif sur les 22% sera fait chaque année fin décembre et en fin d’année scolaire, sur présentation des factures adressées aux assurances et/ou aux patients. (…) » Jusqu’en août 2017, on peut retenir que B.Y.________ recevait seize patients par semaine sur un total de trente-cinq semaines sur l’année, à 130 fr. la séance d’ergothérapie, ce qui lui procurait ainsi un revenu annuel brut maximum de 72'800 fr. ([16 x 130] x 35). A ce montant s’ajoutait le 22% du chiffre d’affaire réalisé par [...] qui suivait à l’époque sept patients et appliquait le tarif de 130 fr. la séance, ce qui représentait un montant annuel brut de 7'007 fr. ({[7 x 130] x 35} x 22%). B.Y.________ percevait ainsi un revenu annuel brut total de 79'807 fr. (72'800 + 7'007), duquel il convient de retrancher les charges annuelles à hauteur de 55%, pour obtenir un revenu annuel net global de 35'913 fr. 15, soit 2'992 fr. 75 net par mois. Dès le 1 er septembre 2017, [...] a augmenté son taux d’activité à raison de deux jours et demi par semaine, ce qui lui permettait de recevoir un maximum de seize patients par semaine. Le contrat de collaboration a été adapté en conséquence, [...] s’engageant toujours à verser 22% de son chiffre d’affaire, sa participation minimum aux frais d’exploitation du cabinet passant à 1'100 fr. par mois. Compte tenu de l’augmentation du taux d’activité de [...], on peut retenir que depuis le mois de septembre 2017, au revenu annuel brut maximum de 72'800 fr. ([16 x 130] x 35) perçu par B.Y.________, s’ajoute le 22% du chiffre d’affaire réalisé par [...] qui suit le même nombre de patients par semaine que B.Y.________, soit un montant annuel de 16'016 fr. ({[16 x 130] x 35} x 22%). B.Y.________ perçoit ainsi un revenu annuel brut total de 88'816 fr. (72'800 + 16'016). Après déduction des charges annuelles qui correspondent à environ 55% du revenu annuel brut, le revenu annuel net global de B.Y.________ peut être estimé à 39'967 fr. 20 (88'816 x 55%), soit 3’330 fr. 60 net par mois. Les charges incompressibles de B.Y.________ sont les suivantes : - Base mensuelle selon normes OPF 1’200 fr. 00 - Loyer               1’600 fr. 00 - Prime d’assurance-maladie LAMal 462 fr. 50 - Franchise et frais médicaux non remboursés 83 fr. 30 - Séances de psychothérapie 640 fr. 00 Total 3’985 fr. 80 La modification du taux d’activité de [...] ayant une influence directe sur le revenu mensuel global de B.Y.________, il convient de distinguer le mois d’août 2017 de la période suivante à compter du 1 er septembre 2017 pour examiner la situation de l’intéressée. Ainsi, en août 2017, une fois ses charges assumées, le budget de B.Y.________ présente un manco arrondi à 993 fr. (2'992 fr. 75 - 3’985 fr. 80). Dès le 1 er septembre 2017, son budget présente un manco arrondi à 655 fr. (3’330 fr. 60 – 3’985 fr. 80). En droit : 1. 1.1 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1.2 En l'espèce, formé en temps utile par une partie qui a un intérêt digne de protection (art. 59 al. 2 let. a CPC) et portant sur des conclusions qui, dans leur dernier état devant la présidente du tribunal d’arrondissement et capitalisées selon l'art. 92 al. 2 CPC, sont supérieures à 10'000 fr., l'appel est recevable. 2. 2.1 2.1.1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la copie des nouvelles primes d’assurances maladies produite par l’appelant est recevable dans la mesure où il n’en a eu connaissance qu’après l’audience de première instance. Il en va de même pour la copie des primes d’assurances maladies de l’intimée, produite à l’appui de ses déterminations. 2.1.2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 TF 5A_906/2012 du 18 avril 2013 consid. 5.1.2 ; TF 5A_695/2012 du</w:t>
      </w:r>
    </w:p>
    <w:p>
      <w:r>
        <w:rPr>
          <w:b/>
        </w:rPr>
        <w:t>E. 20</w:t>
      </w:r>
    </w:p>
    <w:p>
      <w:r>
        <w:t>mars 2013 consid. 4.1.1). L’intimée a requis l’audition de sa collègue [...], afin que cette dernière puisse confirmer les termes de leur contrat de collaboration. Il n’y a toutefois pas lieu d’entrer en matière sur cette requête d’instruction complémentaire. En effet, au vu des pièces au dossier, la juge déléguée de céans s’estime suffisamment renseignée sur le revenu mensuel net moyen de l’intimée. 3. L’appelant se plaint d’une violation de son droit d’être entendu, arguant du fait que les déterminations de la partie adverse, accompagnées d’un bordereau de pièces, ne lui avaient été communiquées que le jour de l’audience de sorte qu’il n’aurait pas eu assez de temps pour en prendre connaissance et se déterminer. 3.1 3.1.1 Aux termes de l’art. 253 CPC, lorsque la requête ne paraît pas manifestement irrecevable ou infondée, le tribunal donne à la partie adverse l’occasion de se déterminer oralement ou par écrit. Selon l’art. 273 CPC, le tribunal tient une audience. Il ne peut y renoncer que s’il résulte des allégués des parties que l’état de fait est clair ou incontesté (al. 1). Les parties comparaissent personnellement, à moins que le tribunal ne les en dispense en raison de leur état de santé, de leur âge ou de tout autre juste motif (al. 2). Le tribunal tente de trouver un accord entre les parties (al. 3). 3.1.2 L’art. 229 al. 3 CPC dispose que lorsqu’il doit établir les faits d’office, le tribunal admet des faits et moyens de preuve nouveaux jusqu’aux délibérations. Le texte légal ni les travaux préparatoires ne précisent ce qu’il faut entendre exactement par « jusqu’aux délibérations ». Tant la doctrine que le Tribunal fédéral retiennent cependant que pour les juridictions fonctionnant avec un juge unique, comme en l’espèce, la délibération correspond en réalité au moment de la prise de décision, activité purement intellectuelle et qui ne s'extériorise d'aucune manière. Dans ce cas, la phase de prise de décision commence dès la clôture des débats principaux (après lesquels ces délibérations peuvent commencer), soit la fin des plaidoiries orales, lorsqu'il y en a, ou l'échéance du délai, le cas échéant prolongé, pour déposer des plaidoiries écrites selon l'art. 232 al. 2 CPC (TF 5A_756/2017 du 6 novembre 2017 consid. 3.3 et les réf. citées ; Denis Tappy, CPC commenté, op. cit., nn. 26-27 ad art. 229 CPC). 3.2 En l’espèce, l’intimée s’est vu accorder un délai prolongé au 14 août 2017 pour produire les pièces requises par le premier juge pour établir sa situation économique et pour se déterminer sur les conclusions prises par l’appelant. Ce dernier a par ailleurs été informé de la prolongation de délai accordée à l’intimé de sorte qu’il devait s’attendre à recevoir au courrier du lendemain matin les déterminations et les pièces produites par la partie adverse, ce qu’il ne conteste au demeurant pas, expliquant simplement qu’il n’avait pas pu prendre connaissance de ces pièces le matin même au motif qu’il était en audience dans le cadre d’un autre mandat. Il a en outre pu prendre connaissance de ces écritures et des pièces produites à leur appui durant la suspension d’audience ordonnée par le premier juge. Dans ces circonstances et conformément à la jurisprudence et à la doctrine rappelée ci-dessus (cf. consid. 3.1.2), le premier juge était fondé à autoriser la production de nouvelles pièces par l’intimée dans le délai prolongé à cet effet. Sous peine de rallonger inutilement la procédure, et en gardant à l’esprit qu’il s’agit d’une procédure sommaire où l’on statue sous l’angle de la vraisemblance, le premier juge a également à  raison refusé de suspendre les débats. On ne peut retenir aucune violation du droit d’être entendu de l’appelant, ni aucune violation des règles relatives à la production de pièces en cours de procédure. Ce premier grief, mal fondé, doit être rejeté. 4. 4.1 La méthode dite du minimum vital avec répartition de l’excédent appliquée par le premier juge pour fixer le montant de la contribution due à l’intimée n’est pas remise en question. L’appelant revient toutefois sur le montant du revenu mensuel net de l’intimée tel que retenu par le premier juge. 4.1.1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A cet égard, la jurisprudence préconise de prendre en considération comme revenu effectif le bénéfice net moyen du compte d'exploitation des trois ou quatre dernières années (TF 5A_246/2009 du 22 mars 2010 consid. 3.1, FamPra.ch. 2010 p. 678; TF 5P_342/2001 du 20 décembre 2001 consid. 3a). 4.1.2 En l’espèce, le premier juge a considéré que dès le 1 er août 2017, l’intimée travaillait à raison de 80% et pouvait ainsi recevoir un maximum de seize patients par semaine pour une séance d’ergothérapie au coût de 130 francs. Sur un total de trente-cinq semaines par année, le revenu annuel brut maximum de l’intimée s’élève ainsi à 72'800 fr. ([16 x 130] x 35). À ce montant, le magistrat a rajouté 22% du chiffre d’affaire réalisé par [...] (qui suit le même nombre de patients par semaine que l’intimée) ; ce montant représente sur l’année une somme de 16'016 fr. ({[16 x 130] x 35} x 22 %). Le magistrat a dès lors arrêté le revenu annuel brut total de l’intimée à 88'816 fr. (72'800 + 16'016), duquel il a déduit 55% à titre de charges annuelles pour obtenir un revenu annuel net de 39'967 fr. 20 (88'816 x 55%), soit 3’330 fr. 60 net par mois. Comme on l’a cependant relevé plus haut (cf. chiffre 3b supra), il ressort des pièces du dossier qu’en août 2017, le revenu annuel brut maximum de l’intimée était de 72'800 fr. ([16 patients x 130 fr.] x 35 semaines), en sus de la participation de [...], à hauteur de 7'007 fr. ({[7 patients x 130 fr.] x 35 semaines} x 22%), soit un revenu annuel brut total de 79'807 fr. (72'800 + 7'007), duquel on doit déduire les charges annuelles par 55%, pour obtenir un revenu annuel net global de 35'913 fr. 15, soit 2'992 fr. 75 net par mois. Par ailleurs, dès le 1 er septembre 2017, ensuite de l’augmentation du taux d’activité de [...], le revenu annuel brut total de l’intimée, y compris la participation de sa collaboratrice, s’est élevé à 88'816 fr. (72'800 fr. + 16'016 fr.), montant duquel il faut déduire les charges annuelles par 55%, soit un revenu annuel net global de 39'967 fr. 20 (88'816 fr. x 55%), soit 3’330 fr. 60 net par mois. L’appelant ne conteste pas le nombre de patients suivis par l’intimée et par sa collaboratrice, le tarif appliqué ou encore l’estimation des charges annuelles. Il se fonde toutefois sur le seul revenu annuel indiqué dans la déclaration d’impôt 2016 par l’intimée, soit 56'338 fr., pour en déduire qu’elle percevrait un revenu mensuel net de 4'694 francs. On ne peut suivre ce raisonnement dans la mesure où la période déterminante débute en août 2017 et ne concerne pas l’année 2016. Enfin, et contrairement à ce que l’appelant soutient, à la lecture du contrat passé entre l’intimée et sa collaboratrice, [...], on comprend que le montant mensuel de 1'100 fr. versé par celle-ci à l’intimée représente un acompte mensuel à valoir sur le décompte définitif représentant le 22% du chiffre d’affaire brut qu’elle réalise et qu’elle s’est engagée à reverser à l’intimée, étant précisé que ce décompte se fait chaque année à fin décembre et en fin d’année scolaire. Le grief, mal fondé, doit être rejeté. 4.2 L’appelant conteste en outre le montant des charges retenues dans son budget. Il reproche au premier juge de ne pas avoir pris en considération les acomptes d’impôts qu’il verse chaque mois à hauteur de 1'878 fr. 85, ainsi que les frais mensuels de 87 fr. qu’il a pourtant établi supporter pour l’entretien de la piscine. 4.2.1 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CPC et 272 CPC ; TF 5A_272/2015 du 7 juillet 2015 consid. 2.2.2; TF 5A_823/2014 du 3 février 2015 consid. 2.2; TF 5A_680/2014 du</w:t>
      </w:r>
    </w:p>
    <w:p>
      <w:r>
        <w:rPr>
          <w:b/>
        </w:rPr>
        <w:t>E. 21</w:t>
      </w:r>
    </w:p>
    <w:p>
      <w:r>
        <w:t>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5A_661/2011 du 10 février 2012 consid. 2.3 ; TF 5A_265/2015 du</w:t>
      </w:r>
    </w:p>
    <w:p>
      <w:r>
        <w:rPr>
          <w:b/>
        </w:rPr>
        <w:t>E. 22</w:t>
      </w:r>
    </w:p>
    <w:p>
      <w:r>
        <w:t>septembre 2015 consid. 2.2.2). Le point de savoir si le degré de vraisemblance requis par le droit fédéral est atteint dans le cas particulier ressortit à l'appréciation des preuves (ATF 130 III 321 consid. 5; TF 5A_535/2009 du 13 octobre 2009 consid. 3.2). 4.2.2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et non sur des dépenses hypothétiques dont on ne sait si elles existeront finalement – et à concurrence de quel montant – ni si elles seront en définitive assumées (TF 5A_751/2008 du 31 mars 2009 consid. 3.1).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En revanche, dans les situations modestes, la charge fiscale ne doit en principe pas être prise en compte (ATF 127 III 289 consid. 2a/bb, ATF 126 III 353 consid. 1a/aa ; TF 5A_608/2011 du 13 décembre 2011 consid. 6.2.5, rés. RMA 2012 p. 110). Pour déterminer si l’on se trouve dans une situation financière permettant la prise en compte des impôts, il ne faut pas se fonder uniquement sur la situation d’une des parties, mais sur leur situation globale, soit les revenus et charges cumulés des deux époux, y compris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8 juin 2017/223 ; Juge délégué CACI 24 octobre 2014/552). Il faut encore que le débirentier prouve avoir payé jusque-là les impôts courants (TF 5A_779/2015 du 12 juillet 2016 consid. 5.2, FamPra.ch 2016 p. 976). Le Tribunal fédéral a par ailleurs considéré que le juge de première instance pouvait s'en tenir aux éléments qui lui étaient connus et non procéder à une simulation d'impôts qui comportait manifestement une part d'incertitude (TF 5A_589/2017 du 20 novembre 2017 consid. 4.3.2). 4.2.3 En l’espèce, il reste aux parties – une fois leurs charges incompressibles assumées – un montant disponible supérieur à celui retenu par le Tribunal fédéral pour admettre que la charge d’impôt soit prise en considération dans le budget des parties pour autant qu’elle soit établie. Ainsi, et dans la mesure où l’appelant a établi qu’il verse chaque mois un acompte d’impôt d’un montant de 1'878 fr. 85, ce montant doit être pris en considération dans ses charges incompressibles. S’agissant des frais d’entretien en lien avec la piscine, le même raisonnement peut être tenu. En effet, cette charge a été dûment établie par l’appelant. Par ailleurs, c’est à raison que ce dernier fait valoir que durant la vie commune des parties, ces dernières avaient décidé d’un commun accord d’installer une piscine sur leur copropriété. Ainsi, les frais liés à son entretien doivent être considérés comme des frais liés à l’entretien du logement dont la préservation de la valeur aura un impact dans le cadre d’une future procédure de divorce. L’appel doit être admis sur ces points. 5. Compte tenu de ce qui précède, il convient de procéder au calcul de la contribution qui doit être mise à la charge de l’appelant en faveur de l’intimée en appliquant la méthode du minimum vital avec répartition de l’excédent qui n’est pas contestée. Le dies a quo fixé au 1 er août 2017 n’étant pas contesté non plus, il n’y a pas lieu de s’écarter de cette date. Durant le mois d’août 2017, une fois les charges incompressibles des parties assumées, il leur reste un montant disponible de 749 fr. 25 (9'252.75 – 8’503.50), qu’il convient de répartir par moitié, soit 374 fr. 60, entre elles. Durant ce mois, le manco de l’intimée s’élevait à 993 fr., de sorte que l’appelant doit lui verser pour cette période une contribution d’entretien mensuelle arrondie à 1'368 fr. (993 + 374 fr. 60), le minimum vital de l’intéressé étant préservé. Dès le 1 er septembre 2017, une fois les charges incompressibles des parties assumées, il leur reste un montant disponible de 1'087 fr. 10 (9'590.60 – 8'503.50), qu’il convient de répartir par moitié, soit 543 fr. 55, entre elles. Compte tenu du manco de 655 fr. 20 que subit l’intimée dès septembre 2017, c’est une contribution d’entretien mensuelle arrondie à 1'199 fr. (655 fr. 20 + 543 fr. 55) que doit lui verser l’appelant, là encore le minimum vital de ce dernier étant préservé. 6. En définitive, l’appel est partiellement admis et l’ordonnance réformée dans le sens des considérants. En l’espèce, l’appelant avait conclu à ce qu’aucune contribution d’entretien ne soit mise à sa charge en faveur de l’intimée. Il obtient finalement gain de cause sur le principe d’une réduction de la contribution d’entretien, initialement fixée à 2'180 fr. par le premier juge et réduite à 1'368 fr. en août 2017 puis à 1'199 fr. dès le 1 er septembre 2017. Il se justifie dès lors de considérer que l’appelant obtient gain de cause à raison d’un tiers et qu’il succombe à raison de deux tiers. Les frais judiciaires relatifs à l’appel, arrêtés à 600 fr. (art. 65 al. 2 TFJC [Tarif des frais judiciaires civils du 28 septembre 2010 ; RSV 270.11.5]), doivent dès lors être mis à la charge de l’appelant à raison de deux tiers, par 400 fr., et à la charge de l’intimée, qui a conclu au rejet de l’appel, à raison d’un tiers, par 200 francs (art. 106 al. 2 CPC). L’intimée versera donc la somme de 200 fr. à l’appelant à titre de restitution partielle de l’avance de frais de deuxième instance. Compte tenu de l’importance de la cause, de ses difficultés, de l’ampleur du travail et du temps consacré à la procédure (art. 3 TDC [tarif des dépens en matière civile du 23 novembre 2010 ; RSV 270.11.6]), la charge des dépens est évaluée à 1’900 fr. pour chaque partie (art. 12 TDC). Les frais – comprenant les frais judiciaires et les dépens (art. 95 al. 1 CPC) – étant mis à la charge de l’appelant à raison de deux tiers et à la charge de l’intimée à raison d’un tiers, l’appelant versera en définitive à l’intimée la somme de 1'266 fr. à titre de dépens réduits de deuxième instance. Par ces motifs, la Juge déléguée de la Cour d’appel civile prononce : I. L’appel est partiellement admis. II. L’ordonnance est réformée au chiffre II de son dispositif comme il suit : II. astreint A.Y.________ à contribuer à l’entretien de B.Y.________, née [...], par le versement d’une pension mensuelle, payable d’avance le premier de chaque mois en mains de cette dernière, de 1'368 fr. (mille trois cent soixante-huit francs) pour le mois d’août 2017, puis de 1'199 fr. (mille cent nonante-neuf francs), dès le 1 er septembre 2017 ; L’ordonnance est confirmée pour le surplus. III. Les frais judiciaires de deuxième instance, arrêtés à 600 fr. (six cents francs), sont mis par 400 fr. (quatre cents francs) à la charge de l’appelant A.Y.________ et par 200 fr. (deux cents francs) à la charge de l’intimée B.Y.________. IV. L’intimée B.Y.________ doit verser à l’appelant A.Y.________ la somme de 200 fr. (deux cents francs) à titre de restitution d’avance de frais de deuxième instance. V. L’appelant A.Y.________ doit verser à l’intimée B.Y.________ la somme de 1'266 fr. (mille deux cent soixante-six francs) à titre de dépens de deuxième instance. VI. L’arrêt est exécutoire. La juge déléguée : La greffière : Du Le présent arrêt, dont la rédaction a été approuvée à huis clos, est notifié en expédition complète à : ‑ Me José Coret, avocat (pour A.Y.________), ‑ Me Laurent Savoy, avocat (pour B.Y.________),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