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604 vom 2. August 2018</w:t>
      </w:r>
    </w:p>
    <w:p>
      <w:r>
        <w:t>VD Tribunal cantonal, 2018-08-02, FR</w:t>
      </w:r>
    </w:p>
    <w:p>
      <w:r>
        <w:rPr>
          <w:b/>
        </w:rPr>
        <w:t xml:space="preserve">Quelle: </w:t>
      </w:r>
      <w:r>
        <w:t>https://mcp.opencaselaw.ch/entscheid/vd_findinfo_HC___2018___604</w:t>
      </w:r>
    </w:p>
    <w:p>
      <w:r>
        <w:t>FR: VD_FINDINFO HC / 2018 / 604 du 2 août 2018</w:t>
      </w:r>
    </w:p>
    <w:p>
      <w:r>
        <w:t>IT: VD_FINDINFO HC / 2018 / 604 del 2 agosto 2018</w:t>
      </w:r>
    </w:p>
    <w:p>
      <w:pPr>
        <w:pStyle w:val="Heading2"/>
      </w:pPr>
      <w:r>
        <w:t>Regeste</w:t>
      </w:r>
    </w:p>
    <w:p>
      <w:r>
        <w:t>PROTECTION DES DONNÉES, COMPTE BANCAIRE, USA, BANQUE CANTONALE, PESÉE DES INTÉRÊTS | 13 LPD, 6 LPD</w:t>
      </w:r>
    </w:p>
    <w:p>
      <w:pPr>
        <w:pStyle w:val="Heading2"/>
      </w:pPr>
      <w:r>
        <w:t>Erwägungen</w:t>
      </w:r>
    </w:p>
    <w:p>
      <w:r>
        <w:rPr>
          <w:b/>
        </w:rPr>
        <w:t>E. 1.1</w:t>
      </w:r>
    </w:p>
    <w:p>
      <w:r>
        <w:t>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w:t>
      </w:r>
    </w:p>
    <w:p>
      <w:r>
        <w:rPr>
          <w:b/>
        </w:rPr>
        <w:t>E. 1.2</w:t>
      </w:r>
    </w:p>
    <w:p>
      <w:r>
        <w:t>Le litige concerne principalement l'application de la LPD. Il s'agit en l'occurrence d'une action civile menée, sur la base des art.</w:t>
      </w:r>
    </w:p>
    <w:p>
      <w:r>
        <w:rPr>
          <w:b/>
        </w:rPr>
        <w:t>E. 4</w:t>
      </w:r>
    </w:p>
    <w:p>
      <w:r>
        <w:t>et 6 LPD, par une personne physique contre une banque ;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l’appelante a produit un lot de cinq pièces sous bordereau. Les pièces A et B sont des pièces de procédure, de sorte qu’elles sont recevables. Quant aux lettres de la Direction du Renseignement national ( Office of the Director of National Intelligence ) et de l’Office de l’Avocat général ( Office of General Counsel ) des 22 février et 21 juin 2016 (pièces 1 et 2), ainsi que celle du DOJ du 19 février 2016 (pièce 3), censées démontrer que les autorités américaines devraient être considérées comme offrant une protection adéquate des données et que, dès lors, l’art. 6 LPD serait inapplicable, elles sont toutes antérieures à la clôture de l’instruction de première instance. Or l’appelante n’expose nullement à quelle date elle a eu connaissance de ces courriers, ni pourquoi elle n’aurait pas été en mesure d’alléguer ces éléments lors de la procédure de première instance, alors que la question de l’existence d’une législation assurant un niveau de protection adéquat avait été soulevée dans la demande. Partant, les pièces 1 à 3 produites par l’appelante sont irrecevables. 3. 3.1 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 et en retenant, d’autre part, qu’il était possible qu’en cas de communication de ces données, la relation bancaire à laquelle ce dernier était rattaché intéresse le fisc américain et qu’en cas de voyage aux Etats-Unis, l’intimé soit intercepté et interrogé par les autorités américaines au sujet de ce client.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3.2.3.3 infra ). 3.2 3.2.1 L’appelante fait valoir que les Etats-Unis devraient être considérés comme offrant une protection adéquate des données personnelles au sens de l’art. 6 al. 1 LPD, de sorte que l’art 6 LPD serait inapplicable, la cause devant être examinée selon les règles générales de la LPD et la pesée des intérêts devant se faire sous l’angle de l’art. 13 LPD. 3.2.2 Selon l'art. 6 al. 1 LPD, aucune donnée personnelle ne peut être communiquée à l'étranger si la personnalité des personnes concernées devait s'en trouver gravement menacée, notamment du fait de l'absence d'une législation assurant un niveau de protection adéquat. Sous réserve du respect des principes généraux de la loi, la communication est donc licite lorsque le pays destinataire offre un niveau de protection adéquat en matière de données personnelles (Meier, Protection des données – Fondements, principes généraux et droit privé, Berne 2011, n. 1290 ; Rosenthal, in : Rosenthal/Jöhri, Handkommentar zum Datenschutzgesetz, Zurich 2008 n. 2 ad art. 6 LPD ; Streiff/Von Kaenel, Arbeitsvertrag,</w:t>
      </w:r>
    </w:p>
    <w:p>
      <w:r>
        <w:rPr>
          <w:b/>
        </w:rPr>
        <w:t>E. 7</w:t>
      </w:r>
    </w:p>
    <w:p>
      <w:r>
        <w:t>e éd., 2012, n. 7 ad art. 328b CO). Dans les autres cas, la communication doit se conformer à l'un des motifs justificatifs alternatifs mais exhaustifs de l'art. 6 al. 2 LPD (Meier, op. cit., n. 1309 ss ; Rosenthal , op. cit., n. 36 ad art. 6 LPD). Ces motifs l'emportent sur les motifs justificatifs généraux de la loi, prévus par l'art. 13 LPD ( ibidem ). Il appartient à l'exportateur des données d'en établir l'existence (Meier, op. cit., n. 1311 ; Rosenthal , op. cit., n. 36 ad art. 6 LPD). 3.2.3 En l’espèce, les premiers juges ont considéré que les Etats-Unis n’étaient pas dotés d’une législation assurant un niveau de protection adéquat au sens de l’art. 6 al. 1 LPD. L’appelante soutient que cette appréciation ne serait pas compatible avec l’esprit du Safe Harbor et encore moins avec le Privacy Shield qui l’a remplacé, ces deux accords ayant été négociés par les autorités suisses et américaines pour permettre un libre échange de données entre les entreprises privées des deux pays. Selon l’appelante, les autorités américaines, elles-mêmes garantes des accords conclus, n’auraient pas à s’inscrire auprès du Ministère du Commerce pour pouvoir librement recevoir des données personnelles de la part d’autorités suisses, de sorte que ce serait à tort que le premier juge a considéré que dans la mesure où seules les entreprises pouvaient se faire certifier au Privacy Shield , les garanties de protection ne n’appliquaient pas aux autorités américaines auxquelles étaient destinées les données dans le cas d’espèce. Il résulte des faits tels que retenus par les premiers juges et non contestés en appel que le PFPDT a mis à jour le 12 janvier 2017 la liste des Etats ayant une législation assurant un niveau de protection adéquat au sens de l’art. 6 al. 1 LPD (cf. let. C/10 supra ). Cette liste est établie en application de l’art. 7 OLPD (Ordonnance relative à la loi fédérale sur la protection des données ; RS 235.11).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niveau de protection adéquat au sens de l'art. 6 al. 1 LPD ». Si les autorités judiciaires ne sont évidemment pas liées par la liste établie par le PFPDT en vertu de l’art. 7 OLPD, elles n’ont pas de motif de s’en écarter sans raisons valables. Au vu du dossier, le PFPDT a suivi de près la question de la transmission de données aux Etats-Unis. De surcroît, la liste a été actualisée. Cette liste est donc un élément de poids pour dire que les Etats-Unis n’offrent pas une législation adéquate au sens examiné ci-avant. Cela résulte d’ailleurs déjà de la nécessité de passer ces différents accords ( Safe Harbor , puis Privacy Shield ). Il s’ensuit que la législation américaine n’offre une garantie adéquate que dans le strict cadre du Privacy Shield . Or, outre le fait que les départements gouvernementaux, dont le DOJ, ne peuvent pas se faire certifier au Privacy Shield , comme cela était d’ailleurs déjà le cas avec le Safe Harbor , les garanties de protection des données que le Privacy Shield contient n’engagent que les entreprises certifiées, mais pas les autorités publiques. Cela étant, l’appelante ne démontre pas que, nonobstant le fait que cet accord est inapplicable à la situation d’espèce, le DOJ ou les autres autorités impliquées offriraient le même niveau de garantie, les pièces produites sur cette question à l’appui de l’appel étant irrecevables (consid. 2.2 supra ). Le moyen est donc infondé, la jurisprudence récente ayant, dans un un contexte similaire, retenu que les autorités américaines ne devaient pas être considérées comme offrant un niveau de protection adéquat et ayant admis l’application de l’art. 6 LPD dans le cadre de la transmission de données aux Etats-Unis pour une banque suisse qui entrait dans la catégorie 2 du Program for non-prosecution agreements or non-target letters for Swiss Banks (cf. let. C/3 supra ) (TF 4A_88/2017 du 29 novembre 2017 consid. 5.3 ; TF 4A_355/2017 du 29 novembre 2017 consid. 4.3). C’est donc à juste titre que le premier juge s’est placé dans le cadre spécial de l’art. 6 LPD. 3.2.4 3.2.4.1 Ainsi, comme l’ont relevé à bon droit les premiers juges, la licéité de la transmission des données litigieuses doit être examinée à l’aune de l’art. 6 al. 2 LPD, dont seule la let. d entre ici en considération, ce qui n’est pas contesté. 3.2.4.2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 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(TF 4A_390/2017 déjà cité consid. 4.2.3 et les arrêts cités). 3.2.4.3 En l’espèce, en signant le Joint Statement ,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En l’occurrence, les premiers juges ont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compte tenu du rôle « insignifiant » du demandeur , 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3.2.4.4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 4. L'appelante fait encore valoir que la transmission de données au DOJ dans le contexte d'un accord de non-poursuite serait nécessaire pour « la défense d'un droit en justice » au sens de l'art. 6 al. 2 let. d 2 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 supra consid. 3.2.3.3), la banque ne peut pas non plus se prévaloir de la seconde hypothèse de l'art. 6 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 Contrairement à ce qu’il prétend, il n’y a pas lieu d’augmenter les dépens en raison d’une « attitude inutilement procédurière » de l’appelante, celle-ci ayant justifié le maintien de l’appel – nonobstant la jurisprudence récente du Tribunal fédéral – par « ses devoirs de coopération découlant de l’accord de non-poursuite la liant aux autorités américaines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