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2018 / 596 vom 3. August 2018</w:t>
      </w:r>
    </w:p>
    <w:p>
      <w:r>
        <w:t>VD Tribunal cantonal, 2018-08-03, FR</w:t>
      </w:r>
    </w:p>
    <w:p>
      <w:r>
        <w:rPr>
          <w:b/>
        </w:rPr>
        <w:t xml:space="preserve">Quelle: </w:t>
      </w:r>
      <w:r>
        <w:t>https://mcp.opencaselaw.ch/entscheid/vd_findinfo_HC___2018___596</w:t>
      </w:r>
    </w:p>
    <w:p>
      <w:r>
        <w:t>FR: VD_FINDINFO HC / 2018 / 596 du 3 août 2018</w:t>
      </w:r>
    </w:p>
    <w:p>
      <w:r>
        <w:t>IT: VD_FINDINFO HC / 2018 / 596 del 3 agosto 2018</w:t>
      </w:r>
    </w:p>
    <w:p>
      <w:pPr>
        <w:pStyle w:val="Heading2"/>
      </w:pPr>
      <w:r>
        <w:t>Regeste</w:t>
      </w:r>
    </w:p>
    <w:p>
      <w:r>
        <w:t>LOI FÉDÉRALE SUR LA PROTECTION DES DONNÉES, COMPTE BANCAIRE, DONNÉES PERSONNELLES, USA, PESÉE DES INTÉRÊTS, INTÉRÊT PUBLIC, COOPÉRATION TRANSFRONTALIÈRE | 6 LPD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L'appel est recevable contre les décisions finales de première instance (art. 308 al. 1 let. a CPC [Code de procédure civile suisse du 19 décembre 2008; RS 272]), dans les causes non patrimoniales ou dont la valeur litigieuse est supérieure à 10'000 fr. (art. 308 al. 2 CPC). L'appel, écrit et motivé, doit être introduit auprès de l'instance d'appel, soit la Cour d'appel civile (art. 84 al. 1 LOJV [loi du 12 décembre 1979; RSV 173.01]), dans les trente jours à compter de la notification de la décision motivée ou de la notification postérieure de la décision selon l'art. 239 CPC (art. 311 al. 1 CPC). En l'espèce, l'appel a été adressé en temps utile et dans les formes prescrites à l'autorité compétente par une partie qui y a un intérêt digne de protection (cf. art. 59 al. 2 let. a CPC), de sorte qu’il est recevable sur ce point.</w:t>
      </w:r>
    </w:p>
    <w:p>
      <w:r>
        <w:rPr>
          <w:b/>
        </w:rPr>
        <w:t>E. 1.2</w:t>
      </w:r>
    </w:p>
    <w:p>
      <w:r>
        <w:t>Le litige concerne principalement l'application de la LPD. Il s'agit en l'occurrence d'une action civile menée, sur la base des art.</w:t>
      </w:r>
    </w:p>
    <w:p>
      <w:r>
        <w:rPr>
          <w:b/>
        </w:rPr>
        <w:t>E. 4</w:t>
      </w:r>
    </w:p>
    <w:p>
      <w:r>
        <w:t>L'appelante fait encore valoir que la transmission de données au DOJ dans le contexte d'un accord de non-poursuite serait nécessaire pour « la défense d'un droit en justice » au sens de l'art.</w:t>
      </w:r>
    </w:p>
    <w:p>
      <w:r>
        <w:rPr>
          <w:b/>
        </w:rPr>
        <w:t>E. 6</w:t>
      </w:r>
    </w:p>
    <w:p>
      <w:r>
        <w:t>al. 2 let. d LPD pour remplir ses obligations envers le DOJ. 5. Il s’ensuit que l'appel doit être rejeté et le jugement entrepris confirmé. Les frais judiciaires de deuxième instance, arrêtés à 2'000 fr. (art. 64 al. 1 TFJC [tarif des frais judiciaires civils du 28 septembre 2010 ; RSV 270.11.5]), seront mis à la charge de l’appelante, qui succombe (art. 106 al. 1 CPC). Le solde de l’avance de frais effectuée par l’appelante lui sera restitué à hauteur de 500 fr. (art. 111 CPC). Obtenant gain de cause, l’intimé a droit à des dépens pour la procédure d’appel, fixés à 3'000 fr. (art. 9 al. 2 TDC).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