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590 vom 3. Juli 2018</w:t>
      </w:r>
    </w:p>
    <w:p>
      <w:r>
        <w:t>VD Tribunal cantonal, 2018-07-03, FR</w:t>
      </w:r>
    </w:p>
    <w:p>
      <w:r>
        <w:rPr>
          <w:b/>
        </w:rPr>
        <w:t xml:space="preserve">Quelle: </w:t>
      </w:r>
      <w:r>
        <w:t>https://mcp.opencaselaw.ch/entscheid/vd_findinfo_HC___2018___590</w:t>
      </w:r>
    </w:p>
    <w:p>
      <w:r>
        <w:t>FR: VD_FINDINFO HC / 2018 / 590 du 3 juillet 2018</w:t>
      </w:r>
    </w:p>
    <w:p>
      <w:r>
        <w:t>IT: VD_FINDINFO HC / 2018 / 590 del 3 luglio 2018</w:t>
      </w:r>
    </w:p>
    <w:p>
      <w:pPr>
        <w:pStyle w:val="Heading2"/>
      </w:pPr>
      <w:r>
        <w:t>Regeste</w:t>
      </w:r>
    </w:p>
    <w:p>
      <w:r>
        <w:t>VIOLENCE DOMESTIQUE, COMMUNICATION AVEC LE DÉFENSEUR, VISITE, SURVEILLANCE{EN GÉNÉRAL}, MESURE D'ÉLOIGNEMENT{EN GÉNÉRAL}, CURATELLE DE REPRÉSENTATION{ANCIEN ART. 392 CC}, CURATELLE DE REPRÉSENTATION{ART. 394 CC} | 273 al. 1 CC, 28b al. 1 CC, 317 al. 1 CPC (CH)</w:t>
      </w:r>
    </w:p>
    <w:p>
      <w:pPr>
        <w:pStyle w:val="Heading2"/>
      </w:pPr>
      <w:r>
        <w:t>Erwägungen</w:t>
      </w:r>
    </w:p>
    <w:p>
      <w:r>
        <w:rPr>
          <w:b/>
        </w:rPr>
        <w:t>E. 1.1</w:t>
      </w:r>
    </w:p>
    <w:p>
      <w:r>
        <w:t>L’appel est recevable contre les prononcés de mesures protectrices de l’union conjugale, lesquels doivent être considérés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 En l'espèce, formé en temps utile par une partie qui y a un intérêt digne de protection (art. 59 al. 2 let. a CPC) et portant sur des conclusions non patrimoniales, l'appel d’D.________ (ci-après : l’appelant) est recevable.</w:t>
      </w:r>
    </w:p>
    <w:p>
      <w:r>
        <w:rPr>
          <w:b/>
        </w:rPr>
        <w:t>E. 1.2</w:t>
      </w:r>
    </w:p>
    <w:p>
      <w:r>
        <w:t>L’appel joint est irrecevable dans les causes soumises à la procédure sommaire (art. 314 al. 2 CPC). Dans la mesure où les conclusions de G.________ (ci-après : l’intimée) vont au-delà d’un rejet des conclusions de l’appel interjeté par D.________ et constituent un appel joint, elles sont irrecevables.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S’agissant des questions relatives aux enfants, la maxime inquisitoire illimitée (art. 296 al. 1 CPC) et, en sus, la maxime d'office (art. 296 al. 2 CPC) sont applicables.</w:t>
      </w:r>
    </w:p>
    <w:p>
      <w:r>
        <w:rPr>
          <w:b/>
        </w:rPr>
        <w:t>E. 3.1</w:t>
      </w:r>
    </w:p>
    <w:p>
      <w:r>
        <w:t>Compte tenu du fort conflit conjugal entre les parties, il se justifie de charger l’UEMS d’un mandat d’évaluation, avec pour mission d’enquêter sur les capacités éducatives de chacun des parents, en vue de faire des propositions relatives à l’attribution de la garde et à l’exercice des relations personnelles au sens de l’art. 20 al. 1 let. b LProMin (loi sur la protection des mineurs, RSVD 850.41), le juge n’étant pas lié par les conclusions des parties à cet égard compte tenu de la maxime d’office applicable en la matière (cf. consid. 5.1 supra). Au demeurant, les parties ont consenti à une telle mesure et l’Office régional de protection des mineurs, par H.________, l’a requise. Les frais éventuels découlant du mandat d'évaluation seront mis à la charge des parents, à raison d'une demie chacun.</w:t>
      </w:r>
    </w:p>
    <w:p>
      <w:r>
        <w:rPr>
          <w:b/>
        </w:rPr>
        <w:t>E. 3.2</w:t>
      </w:r>
    </w:p>
    <w:p>
      <w:r>
        <w:t>En revanche, le (bref) rapport adressé le 13 décembre 2017 à la présidente par les Dresses [...] et [...] ne signale pas un risque de traumatisme chez l’enfant en cas de rétablissement de rapports entre le père et l’enfant. En conséquence, il n’y a pas lieu d’ordonner une expertise médicale.</w:t>
      </w:r>
    </w:p>
    <w:p>
      <w:r>
        <w:rPr>
          <w:b/>
        </w:rPr>
        <w:t>E. 3.3</w:t>
      </w:r>
    </w:p>
    <w:p>
      <w:r>
        <w:t>La situation de l’enfant devra être réexaminée, d’office ou à la requête de la partie la plus diligente, à réception du rapport d’évaluation.</w:t>
      </w:r>
    </w:p>
    <w:p>
      <w:r>
        <w:rPr>
          <w:b/>
        </w:rPr>
        <w:t>E. 4.1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138). Il appartient à l'appelant de démontrer que ces conditions sont réalisées, de sorte que l'appel doit indiquer spécialement les faits et preuves nouveaux et motiver spécialement les raisons qui les rendent admissibles selon lui (TF 5A_266/2015 du 24 juin 2015 consid. 2.2.2 ; TF 4A_540/2014 du 18 mars 2015 consid. 3.1, RSPC 2015 p. 339 ; JdT 2011 III 43 précité et les références citées). Les conditions restrictives posées par l’art. 317 al. 1 CPC pour l’introduction de faits ou de moyens de preuve nouveaux s’appliquent également aux cas régis par la maxime inquisitoire. Une solution plus souple peut être envisagée lorsque la cause est en outre régie par la maxime d’office, par exemple sur la situation des enfants mineurs en droit matrimonial, à tout le moins lorsque le juge de première instance a violé la maxime inquisitoire illimitée (JdT 2011 III 43 et les références citées). Il n’est cependant pas insoutenable d’appliquer strictement l’art. 317 CPC dans tous les litiges auxquels s’applique la maxime inquisitoire, même concernant des contributions envers les enfants (TF 5A_445/2014 du 28 août 2014 consid. 2.2 ; TF 5A_342/2013 du 27 septembre 2013 consid. 4.1.2 ; TF 5A_22/2014 du 13 mai 2014 consid. 4.2).</w:t>
      </w:r>
    </w:p>
    <w:p>
      <w:r>
        <w:rPr>
          <w:b/>
        </w:rPr>
        <w:t>E. 4.2</w:t>
      </w:r>
    </w:p>
    <w:p>
      <w:r>
        <w:t>En l’espèce, l’appelant a produit plusieurs pièces. Les courriers adressés par le conseil de l’appelant à l’avocat de l’intimée le 23 janvier 2018 (pièces 1 et 2) auraient pu être produits à l’audience du 29 janvier 2018, de sorte que leur production est tardive, sans que l’appelant n’explique les motifs de cette tardiveté. De même, parmi le lot de récépissés postaux produits par l’appelant à l’audience du 13 juin, l’un est daté du 10 janvier 2018, de sorte qu’il est tardif. Ces trois pièces sont irrecevables. Toutes les autres pièces réalisent les conditions de l’art. 317 al. 1 CPC en tant qu’elles sont postérieures à l’audience du 29 janvier 2018, et sont donc recevables. L’audition de l’enfant K.________ avait été requise en première instance et refusée par la présidente. La cause étant régie par la maxime d’office, il se justifiait de procéder à cette mesure d’instruction en deuxième instance. L’audition des parties était indispensable en tant qu’elle a permis d’actualiser plusieurs éléments relatifs à la situation des parties, tant personnelle que professionnelle. Enfin, le témoignage de H.________ était nécessaire en deuxième instance dès lors qu’elle devait se prononcer sur des éléments nouveaux, à savoir sur le déroulement des visites entre l’appelant et son fils au Point Rencontre. De même, il a été procédé à l’audition de V.________ en tant qu’elle était en mesure de relater les événements du 22 avril 2018, postérieurs à l’audience de jugement de première instance.</w:t>
      </w:r>
    </w:p>
    <w:p>
      <w:r>
        <w:rPr>
          <w:b/>
        </w:rPr>
        <w:t>E. 5.1</w:t>
      </w:r>
    </w:p>
    <w:p>
      <w:r>
        <w:t>L’appelant requiert un droit de visite élargi sur son fils, qui s’exercerait à raison d’un week-end sur deux, du vendredi 16h00 au lundi 18h30, de deux soirs par semaine et de la moitié des vacances scolaires et des jours fériés. Il estime qu’il n’aurait pas été démontré que les relations personnelles qu’il entretenait ou pourrait entretenir avec son fils aient pu ou pourraient compromettre le développement de l’enfant. Il fait valoir qu’il n’aurait jamais été menaçant ou violent à l’égard de son fils, de sorte que rien ne justifierait de les empêcher de sortir du Point Rencontre. Il relève enfin qu’il serait contraire à la jurisprudence d’avoir ordonné un droit de visite par le biais du Point Rencontre sans limitation de temps. L’intimée pour sa part estime qu’en raison des violences sur l’intimée, de la violation par l’appelant de son interdiction de périmètre et de ses tentatives de manipulation de l’enfant, il se justifierait de conserver un droit de visite au Point Rencontre fermé, afin de garantir la sécurité de l’enfant.</w:t>
      </w:r>
    </w:p>
    <w:p>
      <w:r>
        <w:rPr>
          <w:b/>
        </w:rPr>
        <w:t>E. 5.2</w:t>
      </w:r>
    </w:p>
    <w:p>
      <w:r>
        <w:t>L'art. 273 al. 1 CC prévoit que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FamPra.ch 2014 p. 433 ; ATF 131 III 209 consid. 5). Le droit aux relations personnelles vise à sauvegarder le lien existant entre parents et enfants (Hegnauer, Droit suisse de la filiation, 4 e éd., 1998, n. 19).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(TF 5A_246/2015 du 28 août 2015 consid. 3.1 ; ATF 127 Ill 295 consid. 4a). On tiendra notamment compte de l'âge de l'enfant, de son état de santé, de la relation qu'il entretient avec l'ayant droit, de ses loisirs, mais également de la personnalité, de la disponibilité et du cadre de vie de l'ayant droit et de la situation professionnelle ou de l'état de santé du parent qui élève l'enfant (Meier/Stettler, Droit de la filiation, 5 e éd. 2014, n. 766 et les réf.). La notion que l'enfant a du temps – selon son âge – est également importante : ainsi, de fréquentes rencontres de quelques heures peuvent être plus appropriées pour des enfants en bas âge que des week-ends entiers (Leuba, Commentaire romand, Code civil I, 2010, nn. 14 ss ad art. 273 CC). Des conditions particulières pour l'exercice du droit de visite peuvent en outre être imposées (Hegnauer, op. cit., n. 19.16).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 refus ou ce retrait ne peut être demandé que si le bien de l'enfant l'exige impérieusement et qu'il est impossible de trouver une réglementation du droit de visite qui sauvegarde ses intérêts : la disposition a pour objet de protéger l'enfant, et non de punir les parents. Il y a danger pour le bien de l'enfant si son développement physique, moral ou psychique est menacé par la présence, même limitée, du parent qui n'a pas l'autorité parentale. Conformément au principe de la proportionnalité, il importe en outre que ce danger ne puisse pas être écarté par d'autres mesures appropriées (TF 5A_53/2017 du 23 mars 2017 consid. 5.1 et les réf.). L'établissement d'un droit de visite surveillé nécessite des indices concrets de mise en danger du bien de l'enfant (TF 5P_131/2006 du 25 août 2006 précité ; Hegnauer, op. cit., n. 19.20 ; Meier/ Stettler, op. cit., nn. 790 ss).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173).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w:t>
      </w:r>
    </w:p>
    <w:p>
      <w:r>
        <w:rPr>
          <w:b/>
        </w:rPr>
        <w:t>E. 5.3.1</w:t>
      </w:r>
    </w:p>
    <w:p>
      <w:r>
        <w:t>En l’espèce, les parties paraissent ne pas être en mesure de rétablir à court terme des relations sereines et respectueuses. L’intimée a été victime de violences conjugales, à tout le moins avant 2011. Quant à l’appelant, il reproche à l’intimée d’avoir déposé une plainte infondée en 2017 et d’avoir ainsi provoqué sans raison sa mise en détention préventive du 29 septembre au 7 décembre 2017. Dans ces conditions, toute rencontre directe des parties en dehors d’un cadre officiel – comme une audience judiciaire – comporte un risque élevé de dispute. Or, il importe, pour son bon développement, que K.________ soit tenu à l’écart du conflit de ses parents. Il ne saurait donc être question de mettre l’appelant au bénéfice d’un droit de visite usuel, avec passage direct de l’enfant d’un parent à l’autre.</w:t>
      </w:r>
    </w:p>
    <w:p>
      <w:r>
        <w:rPr>
          <w:b/>
        </w:rPr>
        <w:t>E. 5.3.2</w:t>
      </w:r>
    </w:p>
    <w:p>
      <w:r>
        <w:t>L’intimée a fait plaider que l’appelant manipulerait l’enfant. Elle a suggéré que c’est l’appelant qui aurait incité K.________ à demander un élargissement du cadre actuel du droit de visite, d’abord à sa mère puis au juge délégué, et que l’appelant l’aurait en quelque sorte acheté, en lui donnant 50 fr. trois jours avant son audition par le juge délégué. Mais, lors de son audition par le juge délégué, l’enfant, qui a semblé détendu et libre dans ses propos, a paru regretter sincèrement de ne pas pouvoir passer plus de temps avec son père. Les 50 fr. que son père lui avait donnés trois jours plus tôt n’ont pas joué de rôle, en tout cas pas de rôle déterminant, puisque l’intimée a elle-même rapporté que l’enfant avait exprimé auparavant le souhait de voir son père davantage. Quant à la rencontre, fortuite ou non, de K.________ avec son père sur le chemin de l’école en janvier 2018, elle ne peut pas – si tant est que l’appelant ait essayé d’influencer son fils à cette occasion – avoir produit un effet durable. Même les propos que le témoin V.________ prête à l’appelant lors du droit de visite du 22 avril 2018 ne permettraient pas, s’ils étaient retenus, de conclure à l’inauthenticité du désir exprimé par K.________ de voir plus longtemps et plus librement son père, puisque, selon le témoin, le père a tenté d’inciter l’enfant à dire qu’il voulait le voir plus – ce qui serait effectivement inapproprié, mais qui n’exclurait pas que l’enfant ait lui-même aussi véritablement le désir de voir plus son père. Certes, il est vraisemblable que, lors de l’exercice de son droit de visite, le père ait manifesté, volontairement ou non, par ses paroles ou par ses attitudes, son propre désir de voir davantage son fils. Il est possible que ce comportement ait incité l’enfant à demander en partie par loyauté un élargissement du cadre des visites. Mais il est établi que l’appelant avait une place importante dans la vie quotidienne de K.________ avant la séparation des parties et que le fait pour cet enfant d’avoir été privé de contacts avec son père pendant l’incarcération de celui-ci l’a beaucoup affecté. Dans ces conditions, et sauf élément contraire qui serait révélé par l’évaluation de l’Unité des Evaluations et des Missions spécifiques du Service de Protection de la Jeunesse (ci-après : UEMS), il est vraisemblable que des contacts réguliers et de qualité entre K.________ et son père sont aussi véritablement souhaités par l’enfant lui-même et qu’ils sont nécessaires à son épanouissement. Il convient dès lors de mettre l’appelant au bénéfice du droit de visite le plus large possible sans passages directs.</w:t>
      </w:r>
    </w:p>
    <w:p>
      <w:r>
        <w:rPr>
          <w:b/>
        </w:rPr>
        <w:t>E. 5.3.3</w:t>
      </w:r>
    </w:p>
    <w:p>
      <w:r>
        <w:t>Pour tenir K.________ à l’écart du conflit conjugal, il peut également s’imposer de prendre des précautions pour qu’il ne soit pas exposé à des propos dénigrants qui seraient tenus par des tiers sur l’un ou l’autre de ses parents. L’intimée craint que, si K.________ est mis en présence de certains membres de sa famille paternelle, il n’entende des propos dénigrants tenus à l’endroit de sa mère. Il est établi que la famille paternelle de K.________ en a voulu à l’intimée d’avoir provoqué l’incarcération de l’appelant et qu’à ce moment-là, elle s’est adressée à l’intervenante en protection des mineurs en charge de la situation pour la dénigrer et mettre en doute, à tort, ses compétences parentales. Mais, sous cette réserve, les craintes de l’intimée ne se fondent pas sur des faits concrets. Il n’y a dès lors pas lieu d’interdire par principe tous contacts entre l’enfant et des membres déterminés de sa famille paternelle. En revanche, compte des tensions existant entre l’appelant et sa famille, d’une part, et l’intimée, d’autre part, il sied d’attirer l’attention de l’appelant sur le fait qu’il ferait beaucoup de mal à son fils s’il le confrontait à des personnes tenant en sa présence des propos dénigrants sur sa mère ou s’il tenait lui-même en présence de son fils des propos dénigrants sur l’intimée. Le droit de visite sera dès lors assorti d’une injonction de s’abstenir de tels comportements. Si cette injonction n’était pas respectée, il pourrait y avoir lieu de revoir la réglementation du droit de visite.</w:t>
      </w:r>
    </w:p>
    <w:p>
      <w:r>
        <w:rPr>
          <w:b/>
        </w:rPr>
        <w:t>E. 5.3.4</w:t>
      </w:r>
    </w:p>
    <w:p>
      <w:r>
        <w:t>Vu ce qui précède, il convient de réformer l’ordonnance attaquée en ce sens que l’appelant est mis au bénéfice d’un droit de visite à exercer par l’intermédiaire du Point Rencontre, avec autorisation de sortir de durée maximale. En l’état, l’appelant ne dispose pas d’un logement qui lui permette d’héberger correctement son fils pour la nuit ; il exercera donc son droit de visite au Point Rencontre de La Tour-de-Peilz avec l’autorisation de sortir durant six heures. Dès qu’il aura trouvé un logement convenable – condition dont la réalisation devra, en cas de contestation, être constatée par la présidente, en même temps qu’elle adaptera à ce changement le montant de la contribution d’entretien (cf. infra, consid. 6) – l’appelant exercera son droit de visite deux week-ends par mois, avec passage au Point Rencontre d’Ecublens. L’ordonnance attaquée sera en outre réformée en ce sens que défense est faite à l’appelant de confronter l’enfant à des personnes tenant en sa présence des propos dénigrants sur sa mère et de tenir lui-même en présence de son fils des propos dénigrants sur l’intimée. Cette réglementation devra être revue à réception du rapport d’évaluation. Elle pourra être revue dans l’intervalle en cas de modification durable et pertinente de la situation de fait.</w:t>
      </w:r>
    </w:p>
    <w:p>
      <w:r>
        <w:rPr>
          <w:b/>
        </w:rPr>
        <w:t>E. 6.1</w:t>
      </w:r>
    </w:p>
    <w:p>
      <w:r>
        <w:t>Aux termes de l’art. 299 al. 1 CPC, le tribunal ordonne si nécessaire la représentation de l’enfant et désigne un curateur expérimenté dans le domaine de l’assistance en matière juridique. Selon l’art. 299 al. 2 let. a CPC, en vigueur depuis le 1 er janvier 2017, le tribunal examine s’il doit instituer une curatelle en particulier lorsque les parents déposent des conclusions différentes relatives à l’attribution de l’autorité parentale (ch. 1), à l’attribution de la garde (ch. 2), à des questions importantes concernant les relations personnelles (ch. 3), à la participation à la prise en charge (ch. 4) et à la contribution d’entretien (ch. 5). Le nouveau droit élargit le champ d’application de la représentation de l’enfant, puisque celle-ci est désormais envisageable également sur les aspects patrimoniaux d’une procédure matrimoniale qui concerne l’enfant (Chabloz, La position procédurale de l’enfant en droit de la famille : modifications au 1 er janvier 2017, in RSPC 1/2017, pp. 83 et 85). Dans le cadre de sa mission, le rôle du curateur consiste à faire valoir le bien de l’enfant, et non sa volonté (ATF 142 III 153 consid. 5.2.1). La nécessité de la représentation de l’enfant selon l’art. 299 CPC tient au principe fondamental qui gouverne toute procédure matrimoniale, à savoir parvenir à une décision finale qui prenne en compte de façon adéquate le bien de l’enfant (Jeandin, CPC commenté, Bâle 2011, n. 5 ad art. 299 CPC). La maxime inquisitoire et la maxime d’office étant applicables dans les affaires du droit de la famille s’agissant des intérêts de l’enfant (art. 296 CPC), la représentation de l’enfant n’est nécessaire que lorsqu’elle est effectivement susceptible d’offrir au tribunal une aide décisionnelle (ATF 142 II 153 consid. 5.1.1 ss et les réf. citées). La fonction du curateur ne consiste pas à représenter en premier lieu le point de vue subjectif de l’enfant, bien qu’il lui appartienne de documenter sa volonté subjective. Le curateur doit établir l’intérêt objectif de l’enfant et contribuer à sa réalisation (ATF 142 II 153 précité consid. 5.2.2 et 5.2.3.1).</w:t>
      </w:r>
    </w:p>
    <w:p>
      <w:r>
        <w:rPr>
          <w:b/>
        </w:rPr>
        <w:t>E. 6.2</w:t>
      </w:r>
    </w:p>
    <w:p>
      <w:r>
        <w:t>En l’espèce, il est concrètement établi que les parties sont engagées dans un conflit important et se déchirent en particulier sur le droit de visite accordé à l’appelant sur K.________. G.________ soupçonne en particulier D.________ de tenter de manipuler son fils, tandis que l’appelant reproche à l’intimée de vouloir le tenir éloigné de l’enfant sans aucune raison. Les parties ont également un passé de violences qui laisse penser que leurs divergences ne seront pas résolues aisément. En conséquence, l’intérêt de l’enfant justifie de lui nommer un curateur au sens de l’art. 299 CPC. Ce mandat peut être confié à Me Stéphanie Cacciatore, avocate à Lausanne.</w:t>
      </w:r>
    </w:p>
    <w:p>
      <w:r>
        <w:rPr>
          <w:b/>
        </w:rPr>
        <w:t>E. 7.1</w:t>
      </w:r>
    </w:p>
    <w:p>
      <w:r>
        <w:t>L’appelant n’a pas expressément conclu à la réforme des interdictions qui lui ont été faites de s’approcher à moins de 100 m. de son fils et de prendre contact avec lui, quand bien même ces points ont été discutés dans son appel et en audience. Néanmoins, s’agissant d’une question relative à l’enfant, la maxime d’office applicable à l’objet du litige (art. 296 al. 3 CPC ; TF 5A_608/2014 du 16 décembre 2014 consid. 4.2.1 ) permet au juge d’ordonner les mesures nécessaires sans être lié par les conclusions des parties et même en l'absence de conclusions (ATF 128 III 411 consid. 3.1 et les références citées).</w:t>
      </w:r>
    </w:p>
    <w:p>
      <w:r>
        <w:rPr>
          <w:b/>
        </w:rPr>
        <w:t>E. 7.2</w:t>
      </w:r>
    </w:p>
    <w:p>
      <w:r>
        <w:t>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 telle action peut, en vertu de l'art. 28c al. 1 CC, requérir des mesures provisionnelles s'il rend vraisemblable qu'il est l'objet d'une atteinte illicite à sa personnalité, que cette atteinte est imminente ou actuelle et qu'elle risque de lui causer un préjudice difficilement réparable.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CC I, Bâle 2010, nn. 67ss ad art. 28 CC et les références citées). 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(Jeandin/Peyrot, Commentaire romand, CC I, op. cit., n. 3 ad art. 28b CC et les références citées). Selon la jurisprudence du Tribunal fédéral (TF 5A_526/2009 du 5 octobre 2009 consid. 5.1 ; TF 5A_377/2009 du 3 septembre 2009 consid. 5.3.1), la violence au sens de l’art. 28b CC s’entend comme une atteinte directe à l'intégrité physique, psychique, sexuelle ou sociale d'une personne. Cette atteinte doit présenter un certain degré d'intensité, tout comportement socialement incorrect n'étant pas constitutif d'une atteinte à la personnalité (Jeandin, op. cit., nn. 13 et 14 ad art. 28b CC et les références citées ; rapport de la Commission des affaires juridiques du Conseil national, Initiative parlementaire, Protection contre la violence dans la famille et dans le couple, FF 2005 pp. 6437ss, p. 6450) .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(Jeandin/Peyrot, op. cit., n. 17 ad art. 28b).</w:t>
      </w:r>
    </w:p>
    <w:p>
      <w:r>
        <w:rPr>
          <w:b/>
        </w:rPr>
        <w:t>E. 7.3</w:t>
      </w:r>
    </w:p>
    <w:p>
      <w:r>
        <w:t>La première juge a estimé qu’une mesure d’éloignement permettrait de tenir K.________ à l’écart du conflit parental. On voit mal quel comportement de l’appelant à l’égard de son fils justifierait d’instaurer une telle mesure. En effet, il a été établi que l’appelant n’a jamais été violent ni menaçant à l’encontre de K.________. Les incidents relatés plus haut, à savoir l’argent donné et les informations sensibles dévoilées à l’enfant, ne sont pas constitutives d’une atteinte au sens de l’art. 28b CC. Certes, l’enfant doit être protégé du conflit parental. Or, cet objectif peut être déjà atteint en évitant les contacts entre les parties, en particulier par le passage au Point Rencontre. Aussi, la mesure d’éloignement à l’égard du fils n’est pas non plus conforme au principe de la proportionnalité. En définitive, les mesures d’éloignement et d’interdiction de contact prononcées par la première juge ne sont pas justifiées et il convient de réformer le chiffre de l’ordonnance y relatif. En revanche, afin de ne pas exacerber le conflit de loyauté auquel est confronté l’enfant, il y a lieu de recommander à l’appelant d’éviter de chercher activement à rencontrer K.________ en dehors du cadre du droit de visite, notamment entre l’école et le domicile, de ne pas interférer dans le temps qui est dévolu à la mère, et de ne pas abuser des contacts téléphoniques ou électroniques.</w:t>
      </w:r>
    </w:p>
    <w:p>
      <w:r>
        <w:rPr>
          <w:b/>
        </w:rPr>
        <w:t>E. 8</w:t>
      </w:r>
    </w:p>
    <w:p>
      <w:r>
        <w:t>L’appelant conteste le montant de la pension qui a été arrêtée en faveur de K.________ pour la période du 1 er janvier au 31 janvier 2018 puis pour la période à compter d’avril 2018.</w:t>
      </w:r>
    </w:p>
    <w:p>
      <w:r>
        <w:rPr>
          <w:b/>
        </w:rPr>
        <w:t>E. 8.1.1</w:t>
      </w:r>
    </w:p>
    <w:p>
      <w:r>
        <w:t>En premier lieu, l’appelant estime que l’intimée devrait augmenter son taux de travail.</w:t>
      </w:r>
    </w:p>
    <w:p>
      <w:r>
        <w:rPr>
          <w:b/>
        </w:rPr>
        <w:t>E. 8.1.2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On ne peut en général exiger d'un époux la prise ou la reprise d'une activité lucrative à un taux de 50% avant que le plus jeune des enfants n'ait atteint l'âge de 10 ans révolus, et de 100% avant qu'il n'ait atteint l'âge de 16 ans révolus (ATF 115 II 6 consid. 3c). Il s’agit de lignes directrices et non pas de règles strictes ; leur application dépend des circonstances du cas concret (TF 5A_241/2010 du 9 novembre 2010 consid. 5.4.3 ; TF 5A_308/2016 du 7 octobre 2016 consid. 4.1 ; TF 5A_726/2011 du 11 janvier 2017 consid. 4.1), notamment de ce qui a été convenu durant la vie commune ou des capacités financières du couple (TF 5A_ 15/2014 du 28 juillet 2014 consid. 5.2.2; TF 5A_506/2014 du 23 octobre 2014 consid. 5.3).</w:t>
      </w:r>
    </w:p>
    <w:p>
      <w:r>
        <w:rPr>
          <w:b/>
        </w:rPr>
        <w:t>E. 8.1.3</w:t>
      </w:r>
    </w:p>
    <w:p>
      <w:r>
        <w:t>En l’espèce, l’intimée travaille à 50% Q.________ et assure des tâches de conciergerie pour un taux de 40% dans l’immeuble dans lequel elle est domiciliée. Dès lors que K.________ atteindra l’âge de 11 ans en août 2018, il n’est pas envisageable d’exiger de l’intimée, qui en a la garde exclusive, d’augmenter son taux à 100%, ce d’autant plus qu’elle travaille déjà à 90%, soit à un taux supérieur à ce qui pourrait être attendu d’elle. Le grief de l’appelant – qui ne prend au demeurant pas de conclusions chiffrées à cet égard et se contente de relever que l’intimée prendrait « le risque qu’à l’avenir, un revenu hypothétique lui soit imposé » – doit être rejeté.</w:t>
      </w:r>
    </w:p>
    <w:p>
      <w:r>
        <w:rPr>
          <w:b/>
        </w:rPr>
        <w:t>E. 8.2.1</w:t>
      </w:r>
    </w:p>
    <w:p>
      <w:r>
        <w:t>L’appelant reproche au premier juge d’avoir mal calculé les revenus qu’il a réalisés pour le mois de janvier et pour la période dès le 1 er avril 2018.</w:t>
      </w:r>
    </w:p>
    <w:p>
      <w:r>
        <w:rPr>
          <w:b/>
        </w:rPr>
        <w:t>E. 8.2.2</w:t>
      </w:r>
    </w:p>
    <w:p>
      <w:r>
        <w:t>La présidente a estimé les indemnités de chômage perçues par l’appelant pour le mois de janvier 2018 ainsi que pour la période à compter d’avril 2018 à 4'040 francs. Il découle d’une pièce produite en appel, que l’appelant n’avait pas pu produire en première instance, qu’il a en réalité perçu une indemnité nette de 3'126 fr. 30 pour le mois de janvier 2018. C’est ce montant qui doit être pris en compte pour le calcul de la contribution d’entretien pour ce mois. S’agissant de la période à compter d’avril 2018, il y a lieu de se fonder sur le nouveau contrat de travail conclu par l’appelant qui prévoit un salaire de 3'623 fr. par mois. Le montant de 300 fr. à titre de « frais de voyage » que l’appelant reçoit ne seront pas pris en compte dans son salaire. Néanmoins, dès lors que cette somme vise à couvrir les repas pris à l’extérieur par l’appelant, il ne lui sera pas non plus compté de frais de repas hors domicile dans ses charges, le montant de 300 fr. étant au demeurant très proche de celui qui lui aurait été alloué sur la base des Lignes directrices de la Conférence des préposés aux poursuites et faillites.</w:t>
      </w:r>
    </w:p>
    <w:p>
      <w:r>
        <w:rPr>
          <w:b/>
        </w:rPr>
        <w:t>E. 8.3</w:t>
      </w:r>
    </w:p>
    <w:p>
      <w:r>
        <w:t>La première juge a établi les charges de l’appelant pour le mois de janvier 2018 comme suit : - base mensuelle              850 fr. - assurance-maladie               385 fr. - frais de recherche d’emploi 100 fr. Total 1'335 fr. Ce calcul peut être confirmé. Pour la période à compter d’avril 2018, la présidente a arrêté les charges de l’appelant selon le calcul suivant : - base mensuelle              1'200 fr. - assurance-maladie               385 fr. - frais de recherche d’emplois 100 fr. - loyer hypothétique              1'400 fr. Total 3'085 fr. Cependant, il convient en premier lieu d’en déduire les frais de recherche d’emplois par 100 fr., l’appelant ayant signé un contrat de chauffeur-livreur à compter du 1 er avril 2018. Par ailleurs, de son propre aveu, l’appelant paie 700 fr. par mois pour son loyer. Dès lors qu’il s’agit du montant qu’il paie effectivement, il n’y a pas lieu de lui imputer un quelconque loyer hypothétique. Aussi, ses charges pour la période postérieure au 1 er avril 2018 doivent être corrigées comme suit : - base mensuelle              1'200 fr. - assurance-maladie              385 fr. - loyer 700 fr. Total 2'285 fr. Par ailleurs, dès lors que, par le présent arrêt, le droit de visite de l’appelant est élargi et qu’il lui est permis de sortir du Point-Rencontre, il se justifiera, à compter de juillet 2018, d’ajouter à ses charges un montant au titre des frais d’exercice de son droit de visite. Néanmoins, puisque le droit de visite octroyé à l’appelant est relativement limité (savoir 6 heures à raison de deux fois par mois), un montant de 50 fr. à ce titre semble suffisant. Les charges de l’appelant à compter de juillet 2018 s’établissent ainsi comme suit : - base mensuelle              1'200 fr. - exercice du droit de visite 50 fr. - assurance-maladie              385 fr. - loyer 700 fr. Total 2'335 fr. Les récépissés produits par l’appelant pour établir des charges supplémentaires ne modifient en rien cette appréciation, dès lors qu’ils n’établissent pas concrètement ce qui a été payé et que, dans tous les cas, il ne s’agit pas de créanciers prioritaires par rapport à l’enfant. En conséquence, le disponible de l’intimé pour ces trois périodes s’établit comme suit : - pour le mois de janvier 2018 : (3'126 fr. 30 – 1'335 fr.) 1'791 fr. 30 ; - pour les mois d’avril à juillet 2018 : (3'623 fr. – 2'285 fr.) 1'338 fr. ; - pour les mois à compter de juillet 2018 (3'623 – 2'335 fr.) 1'288 francs. Compte tenu de ces chiffres, l’appelant devra donc contribuer à l’entretien de son fils par le versement mensuel des montants suivants : - 1'790 fr. pour le mois de janvier 2018 ; - 1'330 fr. pour les mois d’avril à juin 2018 y compris ; - 1'280 fr. à compter du mois de juillet 2018 y compris. L’ordonnance attaquée sera réformée en ce sens que le montant de la contribution d’entretien due chaque mois à l’enfant par l’appelant devra être revue lorsque l’appelant aura trouvé un logement.</w:t>
      </w:r>
    </w:p>
    <w:p>
      <w:r>
        <w:rPr>
          <w:b/>
        </w:rPr>
        <w:t>E. 9.1</w:t>
      </w:r>
    </w:p>
    <w:p>
      <w:r>
        <w:t>Selon l’art. 95 al. 1 CPC, les frais englobent les frais judiciaires ainsi que les dépens, soit notamment les débours nécessaires et le défraiement d’un représentant professionnel (al. 3 let. a et b), notion qui vise essentiellement les frais d’avocat (Tappy, CPC commenté, Bâle 2011, n. 26 ad art. 95 CPC). Conformément à l’art. 106 al. 1 CPC, les frais sont mis à la charge de la partie succombante ; celle-ci est le demandeur lorsque le tribunal n’entre pas en matière et en cas de désistement d’action ; elle est le défendeur en cas d’acquiescement. Selon l’art. 106 al. 2 CPC, lorsqu’aucune des parties n’obtient entièrement gain de cause, les frais sont répartis selon le sort de la cause, en tenant compte de l’ensemble des conclusions, prises en première instance pour répartir les frais de première instance et prises en deuxième instance pour répartir ceux de deuxième instance (Tappy, CPC commenté, nn.</w:t>
      </w:r>
    </w:p>
    <w:p>
      <w:r>
        <w:rPr>
          <w:b/>
        </w:rPr>
        <w:t>E. 9.2</w:t>
      </w:r>
    </w:p>
    <w:p>
      <w:r>
        <w:t>Sur les points litigieux (droit de visite, interdiction de périmètre et montant des contributions d’entretien), l’appelant obtient gain de cause à peu près sur la moitié de ses conclusions. En conséquence, les frais, arrêtés à 600 fr. (art. 65 al. 2 TFJC [tarif des frais judiciaire du 28 septembre 2010 ; RSV 270.11.5]), peuvent être répartis par moitié entre les parties, à savoir à hauteur de 300 fr. pour l’appelant et de 300 fr. pour l’intimée. Ces montants seront toutefois laissés provisoirement à la charge de l’Etat, les parties étant au bénéfice de l’assistance judiciaire (122 al. 1 let. b CPC).</w:t>
      </w:r>
    </w:p>
    <w:p>
      <w:r>
        <w:rPr>
          <w:b/>
        </w:rPr>
        <w:t>E. 9.3</w:t>
      </w:r>
    </w:p>
    <w:p>
      <w:r>
        <w:t>En leur qualité de conseils d’office, Me Christian Fischer, conseil d’office de D.________, et Me Lise-Marie Gonzalez Pennec, conseil d’office de G.________,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Me Christian Fischer a produit, à l’audience du 13 juin 2018, sa liste des opérations indiquant un temps de travail de 19 heures et 35 minutes consacré au dossier de la cause ainsi qu’un forfait de débours par 50 francs. Le temps indiqué apparaît justifié. Il convient d’y ajouter la durée de l’audience du 13 juin 2018 par 3 heures. Au tarif horaire de 180 fr. (art. 2 al. 1 RAJ), l’indemnité d’office due à Me Fischer doit ainsi être arrêtée à 4'065 fr. (22 heures et 35 minutes x 180 fr.), plus 50 fr. de débours et 120 fr. de vacations, ainsi qu’une TVA à 7,7% sur le tout par 326 fr. 10 (7.7% x 4'235 fr.), pour une indemnité totale de 4'561 fr. 10. Me Lise-Marie Gonzalez Pennec a produit, le 13 juin 2018, sa liste des opérations indiquant un temps de travail de 14 heures et 15 minutes consacré au dossier de la cause – dont deux heures par son stagiaire – ainsi que des débours par 124 francs. Le temps indiqué apparaît justifié. Il convient d’y ajouter la durée de l’audience du 13 juin 2018 par 3 heures. Au tarif horaire de 180 fr. et de 110 fr. pour sa stagiaire (art. 2 al. 1 RAJ), l’indemnité d’office de Me Gonzalez Pennec doit ainsi être arrêtée à 2'965 fr. ([15 heures et 15 minutes x 180 fr.] + [2 heures x 110 fr.]), plus 124 fr. de débours, ainsi qu’une TVA à 7,7% sur le tout par 237 fr. 85 (7.7% x 3'089 fr.), pour une indemnité totale de 3'326 fr. 85. Dans la mesure de l’art. 123 CPC, les bénéficiaires de l’assistance judiciaire seront tenus au remboursement des frais judiciaires et de l’indemnité à leur conseil d’office laissés à la charge de l’Etat.</w:t>
      </w:r>
    </w:p>
    <w:p>
      <w:r>
        <w:rPr>
          <w:b/>
        </w:rPr>
        <w:t>E. 9.4</w:t>
      </w:r>
    </w:p>
    <w:p>
      <w:r>
        <w:t>L’octroi de l’assistance judiciaire ne dispense pas la partie du versement des dépens à la partie adverse (art. 122 al. 1 let. d CPC). Compte tenu de ce qui précède, les parties ayant chacune obtenu la moitié de ses prétentions, les dépens doivent être compensés (art. 106 al. 3 CPC). Tel sera également le cas pour les dépens de première instance. Par ces motifs, le juge délégué de la Cour d’appel civile prononce : I. L’appel joint de G.________ est irrecevable. II. L’appel d’D.________ est partiellement admis. III. L’ordonnance de mesures protectrices de l’union conjugale du 11 avril 2018 est réformée aux chiffres I, II, VI, VII, IX, X, XI, XV de son dispositif de la manière suivante : I. charge l’Unité des Evaluations et des Missions Spécifiques du Service de Protection de la Jeunesse d’un mandat d’évaluation en faveur de l’enfant K.________, né le 28 août 2007 et domicilié chez sa mère G.________, [...], avec pour mission d’enquêter sur les capacités éducatives des parents, en vue de faire des propositions relatives à l’attribution de la garde et à la réglementation des relations personnelles ; Ibis. dit que l’exercice du droit de visite d’D.________ sur son enfant K.________ s’exercera par l’intermédiaire de Point Rencontre deux fois par mois, pour une durée de 6 heures, avec l’autorisation de sortir des locaux, en fonction du calendrier d’ouverture et conformément au règlement et aux principes de fonctionnement de Point Rencontre, qui sont obligatoires pour les deux parents, et ce jusqu’à la mise en pratique effective du droit de visite prévu au chiffre Iter ci-dessous ; Iter. dit que, dès qu’D.________ disposera d’un logement convenable, l’exercice de son droit de visite sur son enfant K.________ s’exercera deux week-ends par mois, du vendredi au dimanche, le passage s’effectuant par l’intermédiaire de Point Rencontre Ecublens en fonction du calendrier d’ouverture et conformément au règlement et aux principes de fonctionnement de Point Rencontre, qui sont obligatoires pour les deux parents ; II. dit que Point Rencontre de la Tour-de-Peilz et d’Ecublens reçoivent une copie de la décision judiciaire, confirment le lieu des passages et en informent les parents par courrier, avec copies aux autorités compétentes ; VI. dit que, pour le mois de janvier 2018, D.________ contribuera à l’entretien de son fils K.________ par le versement d’une pension mensuelle, en mains de G.________, d’un montant de 1'790 fr. (mille sept cent nonante francs), éventuelles allocations familiales en sus ; VI bis. dit que, pour le mois de février 2018, D.________ contribuera à l’entretien de son fils K.________ par le versement d’une pension mensuelle, en mains de G.________, d’un montant de 2'075 fr. 35 (deux mille septante-cinq francs et trente-cinq centimes), éventuelles allocations familiales en sus ; VII. dit que, pour le mois de mars 2018, D.________ contribuera à l’entretien de son fils K.________ par le versement d’une pension mensuelle, en mains de G.________, d’un montant de 955 fr. (neuf cent cinquante-cinq francs), éventuelles allocations familiales en sus ; VII bis. dit que, du 1 er avril 2018 au 30 juin 2018, D.________ contribuera à l’entretien de son fils K.________ par le versement d’une pension mensuelle, en mains de [...], d’un montant de 1'330 fr. (mille trois cent trente francs), éventuelles allocations familiales en sus ; VII ter. dit que, dès le 1 er juillet 2018, D.________ contribuera à l’entretien de son fils K.________ par le versement d’une pension mensuelle, en mains de G.________, d’un montant de 1'280 fr. (mille deux cent huitante francs), éventuelles allocations familiales en sus ; IX. interdit à D.________ de s’approcher à moins de 100 m. de G.________ ou de l’attendre à son domicile sis [...], sous réserve des nécessités de la procédure et de l’exercice du droit de visite, sous menace de la peine prévue par l’art. 292 CP qui dispose que celui qui ne se sera pas conformé à une décision à lui signifiée, sous la menace de la peine prévue au présent article, par une autorité ou un fonctionnaire compétents, sera puni d’une amende ; X. autorise G.________ à faire appel aux forces de l’ordre afin de faire respecter le chiffre IX de la présente ordonnance ; XI. instaure une curatelle de représentation, à forme de l’art. 299 CPC, en faveur de l’enfant K.________ et désigne en qualité de curatrice Me Stéphanie Cacciatore, avocate à Lausanne ; XV. dit que les dépens de première instance sont compensés ; L’ordonnance est confirmée pour le surplus. IV. Les frais judiciaires de deuxième instance, arrêtés à 300 fr. (trois cents francs) pour l’intimée G.________ et à 300 fr. (trois cents francs) pour l’appelant D.________, sont provisoirement laissés à la charge de l’Etat. V. L’indemnité d’office de Me Christian Fischer, conseil d’office d’D.________, est arrêtée à 4'561 fr. 10 (quatre mille cinq cent soixante et un francs et dix centimes), TVA et débours compris. VI. L’indemnité d’office de Me Lise-Marie Gonzalez Pennec, conseil d’office de G.________, est arrêtée à 3'326 fr. 85 (trois mille trois cent vingt-six francs et huitante-cinq centimes), TVA et débours compris. VII. Les bénéficiaires de l’assistance judiciaire sont, dans la mesure de l’art. 123 CPC, tenus au remboursement des frais judiciaires et de l’indemnité au conseil d’office mis à la charge de l’Etat. VIII. Les dépens de deuxième instance sont compensés. IX. L’arrêt est exécutoire. Le juge délégué : Le greffier : Du Le présent arrêt, dont la rédaction a été approuvée à huis clos, est notifié en expédition complète à : ‑ Me Christian Fischer (pour D.________), ‑ Me Lise-Marie Gonzalez Pennec (pour G.________), - Me Stéphanie Cacciatore, et communiqué, par l'envoi de photocopies, à : ‑ Mme la Présidente du Tribunal civil de l’arrondissement de l’Est vaudois, - Unité des Evaluations et des Missions Spécifiques du Service de Protection de la Jeunesse, - Office régional de protection des mineurs de l’Est vaudois, à Montreux. Des extraits sont en outre adressés à : - Point Rencontre, Fondation Jeunesse et Famille (en deux exemplaires, à l’attention du Point Rencontre d’Ecublens et du Point Rencontre de la Tour-de-Peilz), -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14</w:t>
      </w:r>
    </w:p>
    <w:p>
      <w:r>
        <w:t>et 20 ad art. 106 CPC ; cf. également Corboz, Commentaire de la loi sur le Tribunal fédéral, n. 42 ad art. 68 LTF). L’art. 107 al. 1 let. c CPC prévoit également que le tribunal peut s’écarter des règles générales et répartir les frais selon sa libre appréciation lorsque le litige relève du droit de la famille. Il peut notamment tenir compte d’éléments comme l’inégalité économique des parties (Tappy, op. cit., n. 18 art. 107 CPC). Ces règles s’appliquent tant à la première qu’à la deuxième instance (Tappy, op. cit., n. 6 et 19 ss ad art. 106 CPC). Mais l’art. 107 al. 1 CPC est de nature potestative. Le juge dispose d'un large pouvoir d'appréciation non seulement quant à la manière dont les frais sont répartis, mais également quant aux dérogations à la règle générale de l'art. 106 CPC (ATF 139 III 358 consid. 3 ; TF 5D_55/2015 du 1 er décembre 2015 consid. 2.3.3 ; TF 5A_482/2014 du 14 janvier 2015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