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556 vom 18. Juni 2018</w:t>
      </w:r>
    </w:p>
    <w:p>
      <w:r>
        <w:t>VD Tribunal cantonal, 2018-06-18, FR</w:t>
      </w:r>
    </w:p>
    <w:p>
      <w:r>
        <w:rPr>
          <w:b/>
        </w:rPr>
        <w:t xml:space="preserve">Quelle: </w:t>
      </w:r>
      <w:r>
        <w:t>https://mcp.opencaselaw.ch/entscheid/vd_findinfo_HC___2018___556</w:t>
      </w:r>
    </w:p>
    <w:p>
      <w:r>
        <w:t>FR: VD_FINDINFO HC / 2018 / 556 du 18 juin 2018</w:t>
      </w:r>
    </w:p>
    <w:p>
      <w:r>
        <w:t>IT: VD_FINDINFO HC / 2018 / 556 del 18 giugno 2018</w:t>
      </w:r>
    </w:p>
    <w:p>
      <w:pPr>
        <w:pStyle w:val="Heading2"/>
      </w:pPr>
      <w:r>
        <w:t>Regeste</w:t>
      </w:r>
    </w:p>
    <w:p>
      <w:r>
        <w:t>CESSION DE CRÉANCE{CO}, CESSION DE CRÉANCE{LP}, REMISE CONVENTIONNELLE DE DETTE, SOLIDARITÉ, QUITTANCE, DÉCISION D'IRRECEVABILITÉ | 166 CC, 115 CO, 143 CO, 147 al. 2 CO, 403 CO, 88 CO, 83 al. 1 CPC (CH)</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dépasse 10'000 fr. (art. 308 al. 2 CPC). L'appel, écrit et motivé, doit être introduit auprès de l'instance d'appel dans les 30 jours à compter de la notification de la décision motivée ou de la notification postérieure de la motivation (art. 311 al. 1 CPC).</w:t>
      </w:r>
    </w:p>
    <w:p>
      <w:r>
        <w:rPr>
          <w:b/>
        </w:rPr>
        <w:t>E. 1.2</w:t>
      </w:r>
    </w:p>
    <w:p>
      <w:r>
        <w:t>En l'espèce, formé en temps utile par une partie qui y a intérêt (art. 59 al. 2 let. a CPC), contre une décision finale de première instance rendue dans une cause patrimoniale dans laquelle la valeur litigieuse est supérieure à 10’000 fr., l'appel est recevable.</w:t>
      </w:r>
    </w:p>
    <w:p>
      <w:r>
        <w:rPr>
          <w:b/>
        </w:rPr>
        <w:t>E. 1.3</w:t>
      </w:r>
    </w:p>
    <w:p>
      <w:r>
        <w:t>La partie adverse peut former un appel joint dans sa réponse, qui doit être déposée dans un délai de trente jours (art. 312 al.</w:t>
      </w:r>
    </w:p>
    <w:p>
      <w:r>
        <w:rPr>
          <w:b/>
        </w:rPr>
        <w:t>E. 1.4</w:t>
      </w:r>
    </w:p>
    <w:p>
      <w:r>
        <w:t>Il en résulte que l'appelante par voie de jonction B.B.________ est légitimée à prendre des conclusions contre la seule partie qui a déposé un appel principal, savoir l'appelant A.B.________. Dans la mesure où ses conclusions sont dirigées contre l'intimée M.________, qui n'a pas déposé appel, elles sont irrecevables.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(ibidem, p. 135).</w:t>
      </w:r>
    </w:p>
    <w:p>
      <w:r>
        <w:rPr>
          <w:b/>
        </w:rPr>
        <w:t>E. 3.1</w:t>
      </w:r>
    </w:p>
    <w:p>
      <w:r>
        <w:t>L'intimée M.________ se prévaut de la cession de créance du 30 août 2017 et relève qu'elle est ainsi substituée à U.________. B.B.________ et A.B.________ s'en sont remis à justice sur la substitution.</w:t>
      </w:r>
    </w:p>
    <w:p>
      <w:r>
        <w:rPr>
          <w:b/>
        </w:rPr>
        <w:t>E. 3.2</w:t>
      </w:r>
    </w:p>
    <w:p>
      <w:r>
        <w:t>Selon l'art. 83 al. 1 CPC, lorsque l'objet litigieux est aliéné en cours d'instance, l'acquéreur peut reprendre le procès en lieu et place de la partie qui se retire. L'art. 83 al. 1 CPC vise notamment la cession de créance (ATF 142 III 782 consid. 3.2.2). La substitution peut avoir lieu en procédure d'appel, lorsque les conditions de l'art. 317 CPC sont réalisées (Jeandin, CPC commenté, 2011, n. 12 ad art. 83 CPC).</w:t>
      </w:r>
    </w:p>
    <w:p>
      <w:r>
        <w:rPr>
          <w:b/>
        </w:rPr>
        <w:t>E. 3.3</w:t>
      </w:r>
    </w:p>
    <w:p>
      <w:r>
        <w:t>En l'espèce, la cession est intervenue après la mise en délibéré en première instance le 29 juin 2017. Elle peut dès lors être invoquée en appel. Il y a en conséquence lieu de constater que M.________ s'est substituée à U.________ et le dispositif du présent arrêt devra en tenir compte. Appel de A.B.________</w:t>
      </w:r>
    </w:p>
    <w:p>
      <w:r>
        <w:rPr>
          <w:b/>
        </w:rPr>
        <w:t>E. 4.1</w:t>
      </w:r>
    </w:p>
    <w:p>
      <w:r>
        <w:t>L'appelant soutient que certains faits auraient été constatés de manière inexacte.</w:t>
      </w:r>
    </w:p>
    <w:p>
      <w:r>
        <w:rPr>
          <w:b/>
        </w:rPr>
        <w:t>E. 4.2</w:t>
      </w:r>
    </w:p>
    <w:p>
      <w:r>
        <w:t>Il aurait dû être retenu selon lui, que, faute de retourner la formule de réinscription, l'enfant n'était, en toute logique, pas réinscrit pour l'année suivante. Les éléments de fait concernant le contrat d'enseignement et le formulaire de réinscription ont été reproduits dans le jugement. Savoir quelle portée attribuer au fait que le formulaire de réinscription n'a pas été retourné est une question juridique qui sera examinée ci-dessous.</w:t>
      </w:r>
    </w:p>
    <w:p>
      <w:r>
        <w:rPr>
          <w:b/>
        </w:rPr>
        <w:t>E. 4.3</w:t>
      </w:r>
    </w:p>
    <w:p>
      <w:r>
        <w:t>L’appelant estime qu’il aurait dû être retenu que le contrat d’enseignement ne contient aucune clause de reconduction tacite. Cet élément a été expressément rajouté dans les faits du présent arrêt. La portée du contrat d'enseignement, notamment de la clause « notice of withdrawal », sera examinée ci-dessous.</w:t>
      </w:r>
    </w:p>
    <w:p>
      <w:r>
        <w:rPr>
          <w:b/>
        </w:rPr>
        <w:t>E. 4.4</w:t>
      </w:r>
    </w:p>
    <w:p>
      <w:r>
        <w:t>L’appelant reproche aux premiers juges de ne pas avoir repris la teneur du courriel de l’appelant du 4 octobre 2011. Ce courriel a été intégralement reproduit dans le présent arrêt.</w:t>
      </w:r>
    </w:p>
    <w:p>
      <w:r>
        <w:rPr>
          <w:b/>
        </w:rPr>
        <w:t>E. 4.5</w:t>
      </w:r>
    </w:p>
    <w:p>
      <w:r>
        <w:t>Selon l’appelant, le tribunal aurait omis à tort de tenir compte de l’échange de courriels qui a eu lieu fin juillet et début août 2011 entre l’appelant et les intimées. Ces éléments ont été complétés.</w:t>
      </w:r>
    </w:p>
    <w:p>
      <w:r>
        <w:rPr>
          <w:b/>
        </w:rPr>
        <w:t>E. 5.1</w:t>
      </w:r>
    </w:p>
    <w:p>
      <w:r>
        <w:t>L'appelant soutient que, faute d'envoi de réinscription et en l'absence d'une clause de reconduction tacite, le contrat d'enseignement n'aurait pas été reconduit au-delà de la fin de l'année scolaire 2010/2011. Il conteste au demeurant avoir tacitement reconduit le contrat.</w:t>
      </w:r>
    </w:p>
    <w:p>
      <w:r>
        <w:rPr>
          <w:b/>
        </w:rPr>
        <w:t>E. 5.2</w:t>
      </w:r>
    </w:p>
    <w:p>
      <w:r>
        <w:t>Les premiers juges ont considéré que le contrat d'enseignement passé entre les parties constituait un contrat conclu en principe pour la durée de la scolarité de l'enfant, sauf résiliation annoncée en temps utile. Cette interprétation est confirmée par le fait que le contrat ne prévoit pas qu'il serait conclu pour une année et qu'un nouveau contrat devrait être conclu pour la suite. Il prévoit au contraire une « anticipated length of stay » de 5 à 7 ans, ainsi que des mécanismes de résiliation: pour quitter l'école à la fin de la saison d'automne (décembre), la notification doit en être faite jusqu'au 30 septembre, pour quitter l'école à la fin de la saison de printemps (mars), la notification doit en être faite jusqu'au 30 janvier et pour quitter l'école à la fin de la saison d'été (juin), la notification doit en être faite au 30 avril. Si les termes de la résiliation ne sont pas respectés, le prochain trimestre doit être entièrement payé. Une telle clause aménage ainsi la possibilité pour les parents de résilier unilatéralement le mandat, conformément à l'art. 404 al. 1 CO, et elle forfaitise le dommage encouru selon l'art. 404 al. 2 CO si certains délais ne sont pas respectés (cf. TF 4A_601/2015 du 19 avril 2016 consid. 1.2.1). La validité du contrat pour la durée de scolarité ne dépendait dès lors pas d'un éventuel renvoi ou non par les parents du formulaire « form of intent ». Celui-ci n'avait pas d'autre fonction pour l'école que d'anticiper le nombre d'élèves pour la prochaine année scolaire et d'annoncer les éventuels nouveaux tarifs applicables. Il résulte d'ailleurs du témoignage [...] que si le formulaire de réinscription n'était pas renvoyé, les élèves étaient néanmoins admis en cours s'ils s'y présentaient, surtout s'il s'agissait d'un ancien élève.</w:t>
      </w:r>
    </w:p>
    <w:p>
      <w:r>
        <w:rPr>
          <w:b/>
        </w:rPr>
        <w:t>E. 5.3</w:t>
      </w:r>
    </w:p>
    <w:p>
      <w:r>
        <w:t>En l'espèce, aucun parent n'a annoncé clairement le retrait de son fils de l'école, qui a poursuivi sa scolarité jusqu'en juin 2014. B.B.________ a au contraire tout fait pour que son fils puisse terminer sa scolarité à J.________ et elle ne conteste à juste titre pas être liée. Quant à l'appelant, les premiers juges ont considéré que le courriel adressé le 4 octobre 2011 à l'école ne saurait être considéré comme une résiliation valablement donnée, ce qui peut être confirmé. L'appelant y écrivait que tout arrangement concernant l'écolage de C.B.________ n'était plus de sa maîtrise, dès lors que, par ordonnance de mesures protectrices de l’union conjugale du 1 er septembre 2011, il avait été décidé que son épouse recevrait mensuellement 10'115 fr., dont 3'315 fr. étaient destinés spécifiquement au paiement de l'écolage, et que comme le tribunal avait décidé de prélever le montant mentionné directement de son salaire et de le faire transférer à son épouse, il ne pouvait pas contrôler si elle payait ou non la mensualité de 3'315 fr. à l'école. Il informait par ailleurs que le gouvernement suisse avait refusé de lui octroyer le prêt proposé pour le règlement des arriérés d'écolage pour 2009/2010 et disait espérer que l'école et son épouse parviendraient à un accord qui permette à C.B.________ de poursuivre son cursus à l'école. On ne peut pas déduire de ce courriel une volonté de résilier le contrat, puisque l'appelant y manifestait au contraire son désir que l'enfant poursuive sa scolarité auprès de J.________. Le fait qu'il explique les motifs pour lesquels il n'avait plus la maîtrise du paiement en raison des décisions judiciaires prises ne parle pas en faveur d'une résiliation, mais montre bien au contraire qu'il souhaitait continuer à payer directement si cela était possible et donc sa volonté de poursuivre les relations contractuelles. On ne peut de même, l'enfant ayant poursuivi sa scolarité à J.________ sans que l'appelant s'y oppose, pas retenir que le contrat aurait été résilié du seul fait que l'appelant n'a pas retourné le formulaire de réinscription. De toute manière, s'agissant d’un mandat accordé conjointement, celui-ci n'aurait pu être résilié que conjointement (cf. infra).</w:t>
      </w:r>
    </w:p>
    <w:p>
      <w:r>
        <w:rPr>
          <w:b/>
        </w:rPr>
        <w:t>E. 5.4</w:t>
      </w:r>
    </w:p>
    <w:p>
      <w:r>
        <w:t>A supposer mêm e que l'on admette la nécessité d'une reconduction du contrat d'enseignement, il y aurait lieu de retenir, contrairement à ce que plaide l'appelant, que ledit contrat a été reconduit par actes concluants, y compris par l'appelant. Les différentes déclarations et divers paiements de l'appelant confirment en effet que celui-ci était d'accord avec la scolarisation de l'enfant au-delà de l'année scolaire 2010-2011 et jusqu'à la fin de sa scolarité. Ainsi, le 28 juillet 2011, l'école a refusé la proposition de l'appelant de verser un montant de 2'986 fr. 05, exigeant un paiement d'au moins 10'000 fr. pour que C.B.________ puisse être autorisé à rester à l'école durant l'année scolaire 2011/2012. Dans son courriel du 5 août 2011, l'appelant a indiqué qu'il allait essayer d'envoyer les 10'000 fr. requis, espérant que cela serait suffisant pour maintenir C.B.________ à l'école pour l'année suivante (soit l'année 2011/2012). Le 9 août 2011, après avoir vainement tenté de payer un certain montant par carte de crédit, l'appelant a versé le montant de 10'000 fr. requis par l'école et C.B.________ a été autorisé à poursuivre sa scolarité au sein de l'école pour 2011/2012. L'appelant a d'ailleurs réglé par des versements directs sur les comptes ou par l'intermédiaire des contributions d'entretien versées à B.B.________ l'essentiel de l'écolage pour 2011/2012. Par la suite également, lorsqu'informé par un courriel du 15 février 2013 que l'enfant ne pourrait pas revenir à l'école, l'appelant a répondu le même jour que le bien-être de son enfant lui tenait à cœur et que le point de savoir s'il aurait à verser à l'avenir de l'argent pour la scolarité de C.B.________ était l'objet d'un examen par la Cour d'appel. Ce courriel montre que l'appelant était informé de la poursuite des études de son fils à J.________ et ne s'y est pas opposé, indiquant même que le point de savoir si, pour l'avenir, il serait amené à contribuer à l'entretien de sa famille en payant les frais scolaires dépendait d'une décision judiciaire. Ce dernier point concerne cependant les relations internes entre les époux A.B.________ et non les relations avec l'école. Quoi qu'il en soit, il démontre que l'appelant admettait qu'à l'avenir, l'enfant poursuive ses études au sein de l'école.</w:t>
      </w:r>
    </w:p>
    <w:p>
      <w:r>
        <w:rPr>
          <w:b/>
        </w:rPr>
        <w:t>E. 6.1</w:t>
      </w:r>
    </w:p>
    <w:p>
      <w:r>
        <w:t>L'appelant plaide encore que l'école aurait passé avec B.B.________ un accord portant sur les conditions du maintien de l’enfant à J.________ au-delà d'octobre 2011 et que cet arrangement aurait rendu caduques toutes les dispositions antérieures. En passant cet accord, l'école aurait accepté de supporter le risque qui en découlait, libérant ainsi l'appelant de toute responsabilité solidaire.</w:t>
      </w:r>
    </w:p>
    <w:p>
      <w:r>
        <w:rPr>
          <w:b/>
        </w:rPr>
        <w:t>E. 6.2</w:t>
      </w:r>
    </w:p>
    <w:p>
      <w:r>
        <w:t>L'argument ne convainc pas. La remise de dette (art. 115 CO) est un contrat bilatéral par lequel le créancier et le débiteur conviennent d'éteindre une créance ou un rapport juridique (ATF 131 III 586 consid. 4.2.3.4 p. 593; Engel, Traité des obligations en droit suisse, 2 e éd., p. 761; Gonzenbach, Basler Kommentar, 6 e éd., nn. 1 et 4 ad art. 115 CO). La remise de dette peut également être convenue par actes concluants (ATF 52 II 215 consid. 5). Le fardeau de la preuve incombe au débiteur qui se prévaut d'une remise de dette (art. 8 CC). Le juge doit ne retenir qu'avec prudence une offre de remise de dette exprimée par actes concluants du créancier (ATF 109 II 327 consid. 2b; ATF 52 II 215 consid. 5 in fine; Engel, op. cit., p. 762; Piotet, Commentaire romand, n. 22 ad art. 115 CO) car, en règle générale et sauf circonstances particulières, nul ne renonce sans contrepartie à une prétention. La renonciation du créancier ne peut être ainsi admise que si son attitude, interprétée selon le principe de la confiance, peut être comprise dans le cas particulier comme manifestant clairement sa volonté de renoncer définitivement à tout ou partie de la créance (ATF 110 II 344 consid. 2b; TF 4C.447/2006 du 27 août 2007 consid. 6.1; Aepli, Zürcher Kommentar, n. 30 ad art. 115 CO). Selon l'art. 116 CO, la novation ne se présume pas. La novation suppose la volonté de créer une nouvelle dette en lieu et place de la précédente (ATF 126 III 375 consid. 2e/bb). De simples transformations du contenu de l'obligation primitive, qui n'affectent pas sa nature, mais en modifient le montant, l'échéance, voire le taux d'intérêt, n'emportent pas d'effet novatoire (ATF 131 III 586 consid. 4.2.3.3; TF 4A_466/2015 du 16 juin 2016 consid. 2.2). L'octroi d'un délai de paiement n'emporte pas novation (ATF 84 II 645 consid. 3a). Selon l'art. 147 al. 2 CO, si l'un des débiteurs solidaires est libéré sans que la dette ait été payée, sa libération ne profite aux autres que dans la mesure indiquée par les circonstances. Cette disposition vise les cas où l'un des débiteurs est libéré sans pour autant que le créancier ait obtenu l'exécution de sa prestation. La libération du débiteur repose ici sur des motifs autres que ceux visés par l'art. 147 al. 1 CO. Parmi ces motifs figurent notamment la confusion (art. 118 CO), la novation (art. 116 CO) ou encore la remise de dette (art. 115 CO) (Perritaz, Le concours d'actions et la solidarité, 2017, n. 141 p. 42). Le principe posé par l'art. 147 al. 2 CO veut que la libération soit personnelle et n'éteigne donc pas les obligations des autres débiteurs solidaires (Romy, Commentaire romand, 2 e éd., n. 4 ad art. 147 CO; Perritaz, op. cit., n. 143 p. 45). Savoir si la transaction intervenue avec l'un des débiteurs a eu pour effet de libérer tous les autres relève de l'interprétation de la volonté des parties à cet accord (ATF 133 III 116 consid. 2). Le fardeau de la preuve revient au codébiteur qui se prévaut de la libération (Romy, loc. cit.; SJ 2003 p. 597 consid. 3.5.2).</w:t>
      </w:r>
    </w:p>
    <w:p>
      <w:r>
        <w:rPr>
          <w:b/>
        </w:rPr>
        <w:t>E. 6.3</w:t>
      </w:r>
    </w:p>
    <w:p>
      <w:r>
        <w:t>En l'espèce, le tribunal a retenu que l'accord d'octobre 2011 représentait un simple plan de paiement et non une véritable réduction de l'écolage. Dès lors que l'école avait régulièrement exigé le paiement des arriérés, allant même jusqu'à exclure temporairement C.B.________, on ne pouvait pas retenir que l'école ait jamais envisagé une véritable remise. Le courriel d’O.________ du 31 octobre 2011 à ce sujet – confirmé par son audition comme témoin – évoquait clairement un plan de paiement. Enfin, le fait que l'école ait envisagé puis refusé une réduction de l'écolage de 15% démontrait qu'elle n'avait jamais imaginé se contenter de 1'000 fr. par mois, ce qui aurait représenté un rabais de plus de 60%. Ces considérations peuvent être confirmées. Les courriels des 30 et 31 octobre 2011 montrent qu'il n'a jamais été question d'une remise de dette, mais d'un plan de paiement temporaire. B.B.________ y demandait en effet à pouvoir payer 1'000 fr. par mois dans l’intervalle, jusqu’à ce que sa situation financière s’améliore, ce à quoi O.________ a répondu qu’il acceptait de commencer immédiatement avec 1'000 fr. par mois. Il en résulte qu'il n'y a jamais eu de remise de dette, ni de novation, l'appelant échouant à prouver une telle intention des parties. De toute manière, à supposer une quelconque remise de dette en faveur de B.B.________, celle-ci ne saurait profiter à l'appelant, l'appelant échouant à établir une quelconque volonté de l'école de vouloir en étendre les éventuels effets libératoires à sa personne.</w:t>
      </w:r>
    </w:p>
    <w:p>
      <w:r>
        <w:rPr>
          <w:b/>
        </w:rPr>
        <w:t>E. 7.1</w:t>
      </w:r>
    </w:p>
    <w:p>
      <w:r>
        <w:t>L'appelant se prévaut également de ce que le contrat ne prévoit aucune clause de solidarité et que, pour le surplus, l'art. 166 al. 3 CC prime sur l'art. 403 CO. Il fait à cet égard valoir que la solidarité selon l'art. 166 al. 3 CC n'existe que tant que dure la vie commune des époux et que si, après la séparation, B.B.________ a maintenu son fils dans l'école, elle doit en supporter la pleine responsabilité.</w:t>
      </w:r>
    </w:p>
    <w:p>
      <w:r>
        <w:rPr>
          <w:b/>
        </w:rPr>
        <w:t>E. 7.2</w:t>
      </w:r>
    </w:p>
    <w:p>
      <w:r>
        <w:t>Selon l'art. 143 CO, il y a solidarité entre plusieurs débiteurs lorsqu'ils déclarent s'obliger de manière qu'à l'égard du créancier chacun d'eux soit tenu pour le tout (al. 1). A défaut d'une semblable déclaration, la solidarité n'existe que dans les cas prévus par la loi (al. 2). Dans le cadre d'une relation contractuelle, il y a solidarité passive, au sens de l'art. 143 al. 1 CO, lorsque plusieurs débiteurs déclarent s'obliger de manière qu'à l'égard du créancier chacun d'eux soit tenu pour le tout. La solidarité passive naît tout d'abord par une déclaration expresse des parties; c'est le cas, par exemple, lorsque celles-ci utilisent le terme « solidaire » (ATF 111 II 284 consid. 2). Mais un engagement solidaire peut aussi se former tacitement et résulter des circonstances ainsi que du contexte du contrat. Cependant, à défaut de convention contraire ou de disposition légale spécifique, il faut admettre que chaque débiteur ne s'est engagé que pour une partie de la dette envers le créancier (cf. art. 143 al. 2 CO). Selon la jurisprudence du Tribunal fédéral et la doctrine, le seul fait de conclure un contrat à plusieurs ne suffit pas en soi à faire naître des obligations solidaires entre les intéressés (ATF 116 II 707 consid. 3 et les références; ATF 49 III 211 consid. 4; TF 4C.342/2004 du 16 décembre 2004 consid. 3). Le Tribunal fédéral a toutefois admis l'existence d'une solidarité passive entre deux personnes qui avaient formulé une offre collective dans une vente aux enchères, bien qu'elles n'aient pas été liées par un rapport de société simple (ATF 47 III 213 consid. 2). Des tribunaux cantonaux ont retenu la solidarité passive entre des locataires ayant signé un contrat de bail; en revanche, le seul fait, pour des concubins, de vivre ensemble dans un appartement n'a pas été jugé suffisant pour créer un lien de solidarité passive entre les partenaires. Semblable lien a encore été admis à l'égard d'époux ayant contracté ensemble un emprunt pour faire face à leurs besoins communs, de même que pour des obligations découlant d'un compte joint (TF 4C.342/2004 du 16 décembre 2004 consid. 3; Romy, op. cit., n. 7 ad art. 143 CO). Dans l'arrêt TF 4C.342/2004 précité, le Tribunal fédéral a admis la solidarité passive pour des conjoints qui avaient conclu un prêt auprès de la mère de l'épouse pour faire face à des dépenses dont cette dernière était fondée à croire qu'elles allaient servir aux besoins de la communauté conjugale.</w:t>
      </w:r>
    </w:p>
    <w:p>
      <w:r>
        <w:rPr>
          <w:b/>
        </w:rPr>
        <w:t>E. 7.3</w:t>
      </w:r>
    </w:p>
    <w:p>
      <w:r>
        <w:t>En l'espèce, conformément au principe de la confiance, l'école pouvait légitimement admettre que les époux A.B.________ s'engageaient, pour la durée de la scolarisation de leur fils C.B.________ et par leur signature conjointe du contrat d'enseignement, comme débiteurs solidaires des frais de scolarité, dans la mesure où leur engagement concernait manifestement des dépenses conjugales, liées à leur devoir d'entretien envers leur fils au sens de l'art. 276 al. 1 CC. Il y a donc en l'espèce solidarité contractuelle.</w:t>
      </w:r>
    </w:p>
    <w:p>
      <w:r>
        <w:rPr>
          <w:b/>
        </w:rPr>
        <w:t>E. 7.4.1</w:t>
      </w:r>
    </w:p>
    <w:p>
      <w:r>
        <w:t>Par surabondance, il existe également une solidarité légale. Selon l'art. 403 al. 1 CO, lorsque le mandataire a été constitué par plusieurs personnes conjointement, celles-ci sont tenues solidairement. Les mandants peuvent aussi convenir de la formation d'une société. Grâce à l'art. 403 CO, une telle convention n'est pas nécessaire, mais elle peut être utile pour clarifier le rapport entre les mandants (Werro, Commentaire romand, 2 e éd., n. 5 ad art. 403 CO). En vertu de l'art. 403 al. 1 CO, le mandataire peut exiger toute la prestation, c'est-à-dire l'intégralité de la somme due, de chacun de ses mandants (Werro, op. cit., n. 6 ad art. 403 CO). L'art. 403 CO s'applique notamment lorsqu'on est en présence d'époux. La doctrine dominante admet cependant que les dispositions spéciales applicables à des rapports juridiques spécifiques priment sur l'art. 403 CO, puisque cette disposition ne règle que la situation générale de la pluralité de mandataires sans prendre en compte les particularités de chaque situation (Werro, op. cit., n. 3 ad art. 403 CO et réf., qui renvoie notamment à l'art. 166 al. 3 CC; Gehrer Cordey/Giger, Handkommentar zum Schweizer Privatrecht, 2016, n. 4 ad art. 403 CO et réf.). S'agissant de parents, l'obligation de principe de l'art. 276 al. 1 CC – qui comprend les frais de formation – est assumée solidairement par ceux-ci au sens de l'art. 143 al. 2 CO (Piotet, Commentaire romand, 2016, n. 16 ad art. 276 CC ; Breitschmid, Basler Kommentar, 5 e éd. 2016, n. 8 ad art. 276 CC; Meier/Stettler, Droit de la filiation, 5 e éd. 2014, n. 1041 p. 682). En ce qui concerne les époux, l'art. 166 al. 1 CC dispose que chaque époux représente l'union conjugale pour les besoins courants de la famille pendant la vie commune. Selon l'art. 166 al. 3 CC, chaque époux s'oblige personnellement par ses actes et il oblige solidairement son conjoint en tant qu'il n'excède pas ses pouvoirs d'une manière reconnaissable pour les tiers.</w:t>
      </w:r>
    </w:p>
    <w:p>
      <w:r>
        <w:rPr>
          <w:b/>
        </w:rPr>
        <w:t>E. 7.4.2</w:t>
      </w:r>
    </w:p>
    <w:p>
      <w:r>
        <w:t>En l'espèce, le contrat d'enseignement, qui porte sur l'ensemble de la scolarité de C.B.________, a été signé par les deux époux alors qu'ils vivaient ensemble. Dans une telle constellation, où les deux époux s'engagent en commun, il n'est pas nécessaire de déterminer les pouvoirs de chaque époux pour représenter l'union conjugale et le fait que les époux se soient séparés par la suite reste sans pertinence. L'art. 166 CC ne règle en effet que la situation de l'époux qui agit seul vis-à-vis du tiers et les conséquences qui en découlent pour ledit tiers (art. 166 al. 3 CC), selon que l'acte concerne les besoins courants de la famille (art. 166 al. 1 CC) ou qu'il excède ces besoins courants (art. 166 al. 2 CC) (TF 4A_116/2014 du 17 juillet 2014 consid. 6.2). La solidarité prévue par l'art. 403 al. 1 CO, confirmée dans le cadre du devoir d'entretien des parents par l'art. 276 CC, trouve application, dans la mesure où l'appelant n'a pas clairement résilié le contrat d'écolage pour ce qui le concerne (cf. supra consid. 6.4). Au demeurant, il est pour le moins douteux qu'il eût pu résilier de manière unilatérale ce contrat en ce qui le concerne, un mandat conclu conjointement ne pouvant être résilié que conjointement (Werro, op. cit., n. 12 ad art. 403 CO; ATF 101 II 117 consid. 5).</w:t>
      </w:r>
    </w:p>
    <w:p>
      <w:r>
        <w:rPr>
          <w:b/>
        </w:rPr>
        <w:t>E. 8.1</w:t>
      </w:r>
    </w:p>
    <w:p>
      <w:r>
        <w:t>Dans un dernier moyen, l'appelant fait valoir qu'une quittance aurait été donnée pour l'année 2010/2011, de sorte que l'école intimée ne pourrait plus faire valoir de prétentions à cet égard.</w:t>
      </w:r>
    </w:p>
    <w:p>
      <w:r>
        <w:rPr>
          <w:b/>
        </w:rPr>
        <w:t>E. 8.2</w:t>
      </w:r>
    </w:p>
    <w:p>
      <w:r>
        <w:t>Selon l'art. 88 CO, le débiteur qui paie a le droit d'exiger une quittance et, si la dette est éteinte intégralement, la remise ou l'annulation du titre (al. 1). Si le paiement n'est pas intégral ou si le titre confère d'autres droits au créancier, le débiteur peut seulement exiger une quittance et la mention du paiement sur le titre (al. 2). Selon l'art. 89 al. 1 CO, lorsqu'il s'agit d'intérêts ou d'autres redevances périodiques, le créancier qui donne quittance pour un terme, sans faire de réserves, est présumé avoir perçu les termes antérieurs. La quittance exprime normalement seulement l'énonciation d'un fait, à savoir la réception de la prestation; elle a le caractère d'un simple moyen de preuve, qui n'exclut pas la preuve du contraire. Il peut cependant arriver que la quittance exprime en outre une déclaration de volonté du créancier, celui-ci reconnaissant n'avoir plus aucune prétention à faire valoir contre le débiteur sur la base du rapport d'obligation en cause; il s'agit alors d'une quittance pour solde de compte, qui a valeur d'une reconnaissance de dette négative. Une telle reconnaissance ne se présume pas et l'existence d'une quittance pour solde de compte ne doit être admise qu'avec prudence (ATF 127 III 444 consid. 1; Loertscher, Commentaire romand, 2 e éd. 2012, n. 4 ad art. 88 CO). En l'espèce, l'appelant se prévaut d'un courriel du 15 février 2013, par lequel l'école, entre autres informations, indiquait que « le versement de la Confédération en mai 2012 avait effectivement permis de couvrir le solde des factures liées à l'année 2010/11 ». Rien n'indique, dans ce document informatif, que l'école intimée ait entendu donner une quittance pour solde de tout compte pour la période en cause. La présomption de l'art. 88 CO a été renversée par la preuve de l'absence de paiement des dépenses extraordinaires de 449 fr. 70. L’appel de A.B.________ doit ainsi être rejeté. Appel joint de B.B.________</w:t>
      </w:r>
    </w:p>
    <w:p>
      <w:r>
        <w:rPr>
          <w:b/>
        </w:rPr>
        <w:t>E. 9.1</w:t>
      </w:r>
    </w:p>
    <w:p>
      <w:r>
        <w:t>L’appelante par voie de jonction se plaint d’un abus de droit de J.________ qui aurait connu la mauvaise situation financière de B.B.________ avant même que C.B.________ commence les cours, n’aurait pas été transparente quant aux conditions financières et aux prix pratiqués, aurait finalement exigé d’elle davantage que les 1'000 fr. par mois qui auraient été initialement convenus et lui aurait fait miroiter la possibilité d’obtenir une bourse pour la lui refuser ensuite. Elle estime que l’école aurait ainsi agi en violation de l’art. 2 du Code de déontologie de l’AVDEP.</w:t>
      </w:r>
    </w:p>
    <w:p>
      <w:r>
        <w:rPr>
          <w:b/>
        </w:rPr>
        <w:t>E. 9.2</w:t>
      </w:r>
    </w:p>
    <w:p>
      <w:r>
        <w:t>En tant qu'elles sont dirigées contre M.________, les conclusions de l'appel joint sont irrecevables, comme déjà dit (cf. supra consid. 1.4). A supposer recevables, les griefs tirés de l’abus de droit sont infondés comme exposé ci-dessous.</w:t>
      </w:r>
    </w:p>
    <w:p>
      <w:r>
        <w:rPr>
          <w:b/>
        </w:rPr>
        <w:t>E. 9.3</w:t>
      </w:r>
    </w:p>
    <w:p>
      <w:r>
        <w:t>Le principe posé par l'art. 2 al. 2 CC (« L'abus manifeste d'un droit n'est pas protégé par la loi ») permet de corriger les effets de la loi dans certains cas où l'exercice d'un droit allégué créerait une injustice manifeste. Le juge apprécie la question au regard des circonstances concrètes, qui sont déterminantes. L'emploi dans le texte légal du qualificatif « manifeste » implique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140 III 583 consid. 3.2.4). Selon l’art. 2 du Code de déontologie de l’AVDEP, les écoles membres s’engagent à mentionner par écrit sans ambiguïté les conditions d’admission, d’horaires, de programmes, d’options proposées et les tarifs de l’école.</w:t>
      </w:r>
    </w:p>
    <w:p>
      <w:r>
        <w:rPr>
          <w:b/>
        </w:rPr>
        <w:t>E. 9.4</w:t>
      </w:r>
    </w:p>
    <w:p>
      <w:r>
        <w:t>En l’espèce, au début de chaque année civile, les tarifs de l’école étaient joints au formulaire « Form of intent » ou envoyés par courrier séparé mais étaient dans tous les cas disponibles sur le site internet de l’école. Aussi, on ne peut pas reprocher à l’école une violation de l’art. 2 du Code de déontologie de l’AVDEP, les élèves et leurs parents ayant accès à tout moment aux coûts d’écolage. De même, le document transmis à B.B.________ le 7 novembre 2011 prévoit qu’une aide financière, prenant la forme d’une réduction de 15% des frais de scolarisation, peut être octroyée, pour un enfant scolarisé dans l’établissement, sur présentation de la documentation établissant que le revenu annuel total brut de la famille est inférieur à la somme de 170'000 francs. Les conditions relatives à l'aide financière étaient tout à fait transparentes en conformité à l’art. 2 du Code de déontologie de l’AVDEP, de sorte que l'appelante ne peut rien déduire en sa faveur du fait qu'elle n'ait finalement pas été accordée, aucune promesse d'aide financière n'étant par ailleurs intervenue préalablement. Il n'apparaît pas que l'intimée ait tardé abusivement à statuer sur cette demande d'aide financière, l'appelante n'ayant déposé que les justificatifs relatifs à sa propre situation avec sa requête. Dès lors que c'est le revenu annuel total brut de la famille qui est déterminant, il importe peu que les époux aient été séparés, contrairement à ce que plaide l'appelante par voie de jonction, le formulaire de demande exigeant les informations relatives aux deux parents. On doit considérer que l'intimée a au contraire fait preuve de patience en admettant un plan de paiement à bien plaire de 1'000 fr. par mois pendant plus de 10 mois, alors que les arriérés s'accumulaient. Lorsque l'appelante par voie de jonction soutient qu'elle ne devrait pas payer plus que les 1'000 fr. par mois convenus pour l'année scolaire 2011-2012 et qu'il y aurait remise de dette pour le surplus, le moyen est infondé pour les motifs déjà indiquées au consid. 7.3. L'appelante par voie de jonction prétend encore qu'en raison du retard de l’école à statuer, elle aurait été empêchée d'entreprendre des démarches pour scolariser C.B.________ dans un gymnase vaudois. Elle n'établit pas que de telles démarches, même entreprises en août 2012, auraient été vouées à l'échec. Elle n'a d'ailleurs entrepris aucune démarche en ce sens, même postérieurement, laissant au contraire C.B.________ être scolarisé à l'école intimée jusqu'en juin 2014.</w:t>
      </w:r>
    </w:p>
    <w:p>
      <w:r>
        <w:rPr>
          <w:b/>
        </w:rPr>
        <w:t>E. 10</w:t>
      </w:r>
    </w:p>
    <w:p>
      <w:r>
        <w:t>B.B.________ soutient qu'il y aurait lieu de laisser les arriérés d'écolage éventuels à la seule charge de A.B.________, en application de l'art. 276 al. 1 et 2 CC. Ce faisant, elle cherche à remettre en cause les pensions arrêtées judiciairement de manière définitive par le juge matrimonial, ce que l'autorité de chose jugée dont bénéficient ces décisions l'empêche de faire. En effet, concernant l'année scolaire 2011/2012, il est établi que l'appelante par voie de jonction a perçu de l'appelant l'intégralité des pensions arrêtées judiciairement, lesquelles comprenaient l'entier de l'écolage de C.B.________. Pour ce qui est des années scolaires 2012/2013 et 2013/2014, l'écolage de C.B.________ n'a plus été pris en compte dans le calcul de la contribution de A.B.________ à l'entretien des siens, le Juge délégué ayant considéré que c'était de manière unilatérale que l'appelante avait décidé de laisser son fils au sein de l'école quand bien même les frais d'écolage constituaient une charge financière trop importante et que, partant, elle devait supporter les conséquences économiques de ce choix, les frais d'écolage dès l'année académique 2012-2013 n'étant dès lors pas pris en considération dans ses charges.</w:t>
      </w:r>
    </w:p>
    <w:p>
      <w:r>
        <w:rPr>
          <w:b/>
        </w:rPr>
        <w:t>E. 11.1</w:t>
      </w:r>
    </w:p>
    <w:p>
      <w:r>
        <w:t>En définitive, l’appel principal et l’appel joint doivent être rejetés. Le jugement entrepris doit néanmoins être réformé d’office en remplaçant le nom U.________ par M.________.</w:t>
      </w:r>
    </w:p>
    <w:p>
      <w:r>
        <w:rPr>
          <w:b/>
        </w:rPr>
        <w:t>E. 11.2</w:t>
      </w:r>
    </w:p>
    <w:p>
      <w:r>
        <w:t>Le conseil juridique d’office a droit au remboursement de ses débours et à un défraiement équitable (art. 122 al. 1 let. c CPC), qui est fixé en considération de l’importance de la cause, de ses difficultés, de l’ampleur du travail et du temps consacré par le conseil juridique (art. 2 al. 1 RAJ [règlement sur l'assistance judiciaire en matière civile du 7 décembre 2010 ; RSV 211.02.3]). Dans sa liste des opérations du 30 mai 2018, l’avocate Cornelia Seeger Tappy a indiqué avoir consacré à la cause 14.90 heures, dont 5.80 heures par le stagiaire pour la période du 2 février au 30 mai 2018, ce qui peut être admis. Elle a en outre annoncé des débours par 17 fr. 35, TVA comprise. Il s’ensuit qu’au tarif horaire de 180 fr. pour l’avocat breveté et de 110 fr. pour l’avocat-stagiaire, hors TVA (art. 2 al. 1 let. a et b RAJ), l’indemnité de Me Cornelia Seeger Tappy sera arrêtée, pour la période du 2 février au 30 mai 2018, à 2'276 fr. ([9.10 x 180 fr.] + [5.8 x 110 fr.]), montant auquel il convient d’ajouter la TVA de 7,7%, par 175 fr. 25, ainsi que des débours par 17 fr. 35, ce qui donne un total de 2'468 fr. 60, arrondi à 2'470 francs.</w:t>
      </w:r>
    </w:p>
    <w:p>
      <w:r>
        <w:rPr>
          <w:b/>
        </w:rPr>
        <w:t>E. 11.3</w:t>
      </w:r>
    </w:p>
    <w:p>
      <w:r>
        <w:t>Les frais judiciaires de deuxième instance doivent être arrêtés à 1'361 fr. pour l’appel et à 1'361 fr. pour l’appel joint (art. 62 al. 1 TFJC [tarif du 28 septembre 2010 des frais judiciaires civils ; RSV 270.11.5]). Vu l’issue de la procédure de deuxième instance, les frais judiciaires de deuxième instance seront mis par 1'361 fr. à la charge de l’appelant et provisoirement laissés à la charge de l’Etat par 1'361 fr. pour l’appelante par voie de jonction (art. 106 al. 1 CPC).</w:t>
      </w:r>
    </w:p>
    <w:p>
      <w:r>
        <w:rPr>
          <w:b/>
        </w:rPr>
        <w:t>E. 11.4</w:t>
      </w:r>
    </w:p>
    <w:p>
      <w:r>
        <w:t>Dans la mesure de l'art. 123 CPC, la bénéficiaire de l'assistance judiciaire est tenue au remboursement des frais judiciaires et de l'indemnité à son conseil d'office mis à la charge de l'Etat.</w:t>
      </w:r>
    </w:p>
    <w:p>
      <w:r>
        <w:rPr>
          <w:b/>
        </w:rPr>
        <w:t>E. 11.5</w:t>
      </w:r>
    </w:p>
    <w:p>
      <w:r>
        <w:t>Au vu de l’issue du litige et du fait que l’appel joint a demandé un travail moins conséquent aux parties intimées que l’appel principal, l’appelant A.B.________ devra verser à l’intimée M.________ et à l’appelante par voie de jonction B.B.________ la somme de 3'000 fr. à titre de dépens de deuxième instance (art. 7 et 20 al. 2 TDC [tarif des dépens en matière civile du 23 novembre 2010 ; RSV 270.11.6]). Pour sa part, B.B.________ devra verser à l’intimée M.________ et à l’appelant A.B.________ la somme de 2'500 fr. à titre de dépens de deuxième instance. Le montant des dépens dus entre A.B.________ et B.B.________ doit être compensé, de sorte que A.B.________ versera en définitive à B.B.________ la somme de 500 fr. (3'000 fr. – 2'500 fr.) à titre de dépens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