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521 vom 17. Mai 2018</w:t>
      </w:r>
    </w:p>
    <w:p>
      <w:r>
        <w:t>VD Tribunal cantonal, 2018-05-17, FR</w:t>
      </w:r>
    </w:p>
    <w:p>
      <w:r>
        <w:rPr>
          <w:b/>
        </w:rPr>
        <w:t xml:space="preserve">Quelle: </w:t>
      </w:r>
      <w:r>
        <w:t>https://mcp.opencaselaw.ch/entscheid/vd_findinfo_HC___2018___521</w:t>
      </w:r>
    </w:p>
    <w:p>
      <w:r>
        <w:t>FR: VD_FINDINFO HC / 2018 / 521 du 17 mai 2018</w:t>
      </w:r>
    </w:p>
    <w:p>
      <w:r>
        <w:t>IT: VD_FINDINFO HC / 2018 / 521 del 17 maggio 2018</w:t>
      </w:r>
    </w:p>
    <w:p>
      <w:pPr>
        <w:pStyle w:val="Heading2"/>
      </w:pPr>
      <w:r>
        <w:t>Regeste</w:t>
      </w:r>
    </w:p>
    <w:p>
      <w:r>
        <w:t>VENTE, APPAREIL TECHNIQUE, CONSTRUCTION ET INSTALLATION, INSTALLATION INTÉRIEURE, INSTALLATION{ACTIVITÉ} | 184 CO, 321 CPC (CH)</w:t>
      </w:r>
    </w:p>
    <w:p>
      <w:pPr>
        <w:pStyle w:val="Heading2"/>
      </w:pPr>
      <w:r>
        <w:t>Erwägungen</w:t>
      </w:r>
    </w:p>
    <w:p>
      <w:r>
        <w:rPr>
          <w:b/>
        </w:rPr>
        <w:t>E. 1.1</w:t>
      </w:r>
    </w:p>
    <w:p>
      <w:r>
        <w:t>Le recours est recevable contre les décisions finales de première instance qui ne peuvent pas faire l’objet d’un appel (art. 319 let. a CPC),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(art. 321 al. 1 CPC).</w:t>
      </w:r>
    </w:p>
    <w:p>
      <w:r>
        <w:rPr>
          <w:b/>
        </w:rPr>
        <w:t>E. 1.2</w:t>
      </w:r>
    </w:p>
    <w:p>
      <w:r>
        <w:t>En l’espèce, le recourant a conclu à l’annulation de la décision finale rendue le 2 novembre 2017 par le Juge de paix et à l’annulation de la poursuite n° 8191888 de l’Office des poursuites du district de la Riviera – Pays d’Enhaut, sans prendre de conclusions chiffrées. Toutefois, on comprend de son mémoire qu’il admet en réalité devoir payer 96 fr. mais s’oppose en revanche au solde relatif à la main-d’œuvre par 1'010 fr. découlant de la facture n° 19248 du 31 mai 2016, de sorte que le recours est en définitive recevable sous cet angle. En conséquence, déposé en temps utile par une partie qui a un intérêt digne de protection (art. 59 al. 2 let. a CPC) et portant sur des conclusions d’une valeur litigieuse inférieure à 10'000 fr.,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3.1</w:t>
      </w:r>
    </w:p>
    <w:p>
      <w:r>
        <w:t>Le recourant reproche au premier juge de l’avoir reconnu débiteur des frais de livraison et d’installation. Il fait valoir que l’apprenti employé de l’intimée se serait contenté de porter le téléviseur jusqu’à l’intérieur, puis aurait passé six heures à jouer sur son téléphone, et que sa présence n’aurait pas été nécessaire ni même utile lors de l’installation de l’écran. Il soutient que l’intimée aurait agi en violation des règles de la bonne foi en indiquant, au pied des bulletins de commande, que « les frais d’installation, matériel et main-d’œuvre supplémentaires, seront facturés séparément », contrairement aux pratiques commerciales de la marque Z.________. Le recourant fait valoir en outre que le montant total d’environ 15'000 fr. facturé par l’intimée serait contraire aux pratiques commerciales de la branche s’agissant d’objets de luxe. Par ailleurs, il allègue que le matériel qu’il a commandé ne cesserait de connaître des problèmes techniques.</w:t>
      </w:r>
    </w:p>
    <w:p>
      <w:r>
        <w:rPr>
          <w:b/>
        </w:rPr>
        <w:t>E. 3.2</w:t>
      </w:r>
    </w:p>
    <w:p>
      <w:r>
        <w:t>Conformément aux principes généraux du droit des obligations, le contrat de vente n’est valablement conclu que si les parties se sont mises d’accord sur tous les points objectivement essentiels – la chose et le prix – et subjectivement essentiels (Venturi/Zen-Ruffinen, Commentaire romand, Code des obligations I, 2 e éd., 2012, n. 54 ad art. 184 CO). Il n’est toutefois pas nécessaire que le prix soit déterminé; il suffit qu’il soit déterminable (Venturi/Zen-Ruffinen, Commentaire romand, op. cit., n. 55 ad art. 184 CO et n. 1 ad art. 212 CO). Il suffit par exemple que les parties conviennent, au moment de la conclusion du contrat, d’une procédure de détermination qui aura lieu au moment de l’exécution (Tercier/Bieri/Carron, Les contrats spéciaux, 5 e éd., 2016, n. 520 ad § 11; Venturi/Zen-Ruffinen, Commentaire romand, op. cit., n. 55 ad art. 184 CO). Le montant du prix est librement fixé par les parties, dans les limites habituelles (Tercier/Bieri/Carron, op.cit., n. 856 ad § 14; Venturi/Zen-Ruffinen, Commentaire romand, op. cit., n. 59 ad art. 184 CO). Pour déterminer l'objet et le contenu d'un contrat, le juge doit recourir en premier lieu à l'interprétation subjective, c'est-à-dire rechercher la commune et réelle intention des parties, le cas échéant empiriquement, sur la base d'indices, sans s'arrêter aux expressions ou dénominations inexactes dont elles ont pu se servir, soit par erreur, soit pour déguiser la véritable nature de la convention (art. 18 al. 1 CO; TF 5A_198/2008 du 26 septembre 2008 c. 4.1 et les références citées). Lorsque les parties ont fixé leurs déclarations sur un support écrit, il faut se fier en premier lieu à la teneur du texte lui-même (ATF 133 III 406, JT 2007 I 364). Ce n'est que si le juge ne parvient pas à déterminer cette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(TF 5A_198/2008 précité et les références citées).</w:t>
      </w:r>
    </w:p>
    <w:p>
      <w:r>
        <w:rPr>
          <w:b/>
        </w:rPr>
        <w:t>E. 3.3</w:t>
      </w:r>
    </w:p>
    <w:p>
      <w:r>
        <w:t>Le premier juge a écarté l’argumentation du recourant au motif que celui-ci avait apposé sa signature sur les bulletins de commande n os 88559 et 88563 juste en-dessous de l’indication selon laquelle « les frais d’installation, matériel et main-d’œuvre supplémentaires, seront facturés séparément ». Le Juge de paix a retenu que le bulletin de commande n° 88563 relatif au téléviseur prévoyait expressément l’intervention de deux employés pour la mise en service du matériel et précisait le tarif horaire applicable à l’installation, de sorte que le prix des prestations d’installation était suffisamment déterminable au moment de la conclusion du contrat. En outre, le recourant avait également signé le rapport de travail n° 164353 du 26 mai 2016 qui indiquait le temps consacré par les deux techniciens à l’installation de l’ensemble des appareils, la liste du matériel supplémentaire ainsi que le montant total que cela représentait, de sorte qu’il avait ainsi manifesté son accord avec les informations contenues dans ce document. La motivation du Juge de paix, précise et détaillée, que le recourant ne conteste d’ailleurs pas de façon circonstanciée, est exempte de tout reproche et peut être ici entièrement confirmée. Le recourant ne démontre au surplus pas les pratiques commerciales de la branche qu’il invoque, qui s’appliqueraient aux objets de luxe et que l’intimée aurait violées selon lui. Dans tous les cas, ces pratiques ne changeraient rien au fait qu’il a approuvé par sa signature les montants qui lui ont été facturés. De même, les éventuels problèmes techniques allégués par le recourant – qui, au demeurant, ne sont pas établis – n’auraient aucune incidence sur l’issue du litige dès lors que le recourant reste débiteur du prix d’achat et des frais de livraison et d’installation.</w:t>
      </w:r>
    </w:p>
    <w:p>
      <w:r>
        <w:rPr>
          <w:b/>
        </w:rPr>
        <w:t>E. 4</w:t>
      </w:r>
    </w:p>
    <w:p>
      <w:r>
        <w:t>Compte tenu de ce qui précède, le recours, manifestement infondé, doit être rejeté (art. 322 al. 1 in fine CPC) et la décision confirmée. Vu l’issue du litige, les frais judiciaires de deuxième instance, arrêtés à 100 fr. (art. 69 al. 1 TFJC [Tarif des frais judiciaires civils du 28 septembre 2010 ; RSV 270.11.5]), seront mis à la charge du recourant, qui succombe (art. 106 al. 1 CPC). Il n’y a pas lieu à l’allocation de dépens, l’intimée n’ayant pas été invitée à se déterminer. Par ces motifs, la Chambre des recours civile du Tribunal cantonal, en application de l'art. 322 al. 1 CPC, prononce : I. Le recours est rejeté. II. Le jugement est confirmé. III. Les frais judiciaires de deuxième instance, arrêtés à 100 fr. (cent francs) sont mis à la charge du recourant U.________. IV. L’arrêt est exécutoire. Le président :               Le greffier : Du L'arrêt qui précède, dont la rédaction a été approuvée à huis clos, est notifié à : ‑ M. U.________, ‑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