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51 vom 23. Januar 2018</w:t>
      </w:r>
    </w:p>
    <w:p>
      <w:r>
        <w:t>VD Tribunal cantonal, 2018-01-23, FR</w:t>
      </w:r>
    </w:p>
    <w:p>
      <w:r>
        <w:rPr>
          <w:b/>
        </w:rPr>
        <w:t xml:space="preserve">Quelle: </w:t>
      </w:r>
      <w:r>
        <w:t>https://mcp.opencaselaw.ch/entscheid/vd_findinfo_HC___2018___51</w:t>
      </w:r>
    </w:p>
    <w:p>
      <w:r>
        <w:t>FR: VD_FINDINFO HC / 2018 / 51 du 23 janvier 2018</w:t>
      </w:r>
    </w:p>
    <w:p>
      <w:r>
        <w:t>IT: VD_FINDINFO HC / 2018 / 51 del 23 gennaio 2018</w:t>
      </w:r>
    </w:p>
    <w:p>
      <w:pPr>
        <w:pStyle w:val="Heading2"/>
      </w:pPr>
      <w:r>
        <w:t>Regeste</w:t>
      </w:r>
    </w:p>
    <w:p>
      <w:r>
        <w:t>MESURE PROVISIONNELLE, LÉGITIMATION ACTIVE ET PASSIVE, OBLIGATION DE RENSEIGNER, HÉRITIER | 602 CC, 607 CC, 610 CC, 261 al. 1 CPC (CH), 70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RSV 173.01]). L’appel, portant sur une décision de mesures provisionnelles de première instance, ayant été formé en temps utile par une partie ayant un intérêt digne de protection (art. 59 al. 2 let. a CPC) et portant sur des conclusions non patrimoniales, est recevable.</w:t>
      </w:r>
    </w:p>
    <w:p>
      <w:r>
        <w:rPr>
          <w:b/>
        </w:rPr>
        <w:t>E. 2</w:t>
      </w:r>
    </w:p>
    <w:p>
      <w:r>
        <w:t>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w:t>
      </w:r>
    </w:p>
    <w:p>
      <w:r>
        <w:rPr>
          <w:b/>
        </w:rPr>
        <w:t>E. 2.2</w:t>
      </w:r>
    </w:p>
    <w:p>
      <w:r>
        <w:t>Selon l'art. 317 al. 1 CPC, un moyen de preuve nouveau n'est pris en compte au stade de l'appel que s'il est produit sans retard (let. a) et ne pouvait l'être devant la première instance bien que la partie qui s'en prévaut ait fait preuve de la diligence requise (let. b). A cet égard, on distingue vrais et faux novas. Les vrais novas sont des faits ou moyens de preuves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n. 40 p. 150 et les réf. citées). En l’espèce, les deux courriers produits par Y.________ (ci-après : l’intimée) à l’appui de sa réponse du 4 décembre 2017 sont recevables, dès lors qu’ils sont postérieurs à la clôture de l’instruction de première instance.</w:t>
      </w:r>
    </w:p>
    <w:p>
      <w:r>
        <w:rPr>
          <w:b/>
        </w:rPr>
        <w:t>E. 3.1.1</w:t>
      </w:r>
    </w:p>
    <w:p>
      <w:r>
        <w:t>Se prévalant d’une constatation inexacte des faits, E.________ (ci-après : l’appelante) prétend que ce serait à tort que le premier juge aurait retenu qu’elle et ses sœurs, [...] et [...], entendaient démembrer les archives de leur mère. Elle se prévaut d’un courrier du 10 mai 2017, qu’elle avait adressé au premier juge, indiquant qu’elle et ses sœurs souhaitaient simplement prélever copie de ce qui les concernait directement. Elle se plaint également de ce que le premier juge aurait omis de prendre en compte le fait qu’elle ait admis qu’elle ne détenait aucun objet appartenant à la succession. Elle invoque que le premier juge ne pouvait dès lors pas considérer qu’il était plus vraisemblable que les biens litigieux soient en sa possession plutôt qu’ailleurs, ce d’autant moins que l’ordonnance querellée la condamnait à indiquer où se trouvaient lesdits biens, de sorte qu’ils ne pouvaient pas se trouver en sa possession.</w:t>
      </w:r>
    </w:p>
    <w:p>
      <w:r>
        <w:rPr>
          <w:b/>
        </w:rPr>
        <w:t>E. 3.1.2</w:t>
      </w:r>
    </w:p>
    <w:p>
      <w:r>
        <w:t>De son côté, l’intimée relève que la teneur du courrier du 28 octobre 2016 ne laisserait place à aucun doute quant au fait que ses cohéritières étaient en train d’altérer le journal intime de sa mère. Elle se réfère également au courriel du 6 juillet 2016, dont le contenu démontrerait l’intention manifeste de l’appelante et de ses sœurs de soustraire le journal de l’inventaire. Elle fait enfin valoir que le ch. III du dispositif de l’ordonnance querellée ne serait pas incompatible avec l’interdiction faite à l’appelante de disposer des biens de la succession, dès lors que ceux-ci pourraient avoir été déposés dans un lieu connu d’elle seule.</w:t>
      </w:r>
    </w:p>
    <w:p>
      <w:r>
        <w:rPr>
          <w:b/>
        </w:rPr>
        <w:t>E. 3.2</w:t>
      </w:r>
    </w:p>
    <w:p>
      <w:r>
        <w:t>À teneur de l'art. 602 al. 2 CC (Code civil suisse du 10 décembre 1907 ; RS 210),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(Steinauer, Le droit des successions, 2 e éd., 2015, nn. 1215 s.). Tous les actes de disposition doivent émaner de tous les membres de la communauté (art. 653 al. 2 CC et 602 al. 2 CC ; Steinauer, op. cit., n. 1217). Conformément à l’art. 607 al. 3 CC, les héritiers possesseurs de biens de la succession sont tenus de fournir à cet égard des renseignements précis lors du partage. L’art. 607 al. 3 CC doit être rapproché de l’art. 610 al. 2 CC qui, d’une portée plus générale, oblige les héritiers à se communiquer toutes les informations sur leur situation personnelle envers le défunt (Spahr, Commentaire romand, Code civil II, 2016, n. 18 ad art. 607 CC). L’obligation d’informer porte sur tout ce qui est à même d’influencer le partage (Steinauer, op. cit., n. 1246).</w:t>
      </w:r>
    </w:p>
    <w:p>
      <w:r>
        <w:rPr>
          <w:b/>
        </w:rPr>
        <w:t>E. 3.3</w:t>
      </w:r>
    </w:p>
    <w:p>
      <w:r>
        <w:t>En l’espèce, il ne fait aucun doute que l’appelante et ses sœurs, [...] et [...], se sont trouvées en possession des archives de leur mère, particulièrement du journal intime de celle-ci, dès lors qu’elles et l’intimée ont conclu une convention avec le [...] visant à leur transfert. Par ailleurs, le 6 juillet 2016, [...] a indiqué au directeur du [...] qu’elle et ses sœurs, l’appelante et [...], refusaient de lui remettre le journal intime de leur mère. De plus, par courrier du 28 octobre 2016, l’appelante a indiqué au premier juge qu’elle et sa sœur [...] étaient en train de prélever du journal intime les parties les concernant exclusivement et qu’elles remettraient le solde à l’intimée une fois ces opérations terminées. Le texte du courriel du 6 juillet 2016 et du courrier du 28 octobre 2016 ne laisse aucune place à l’interprétation, celui-ci montrant d’une part que le journal intime en question s’est trouvé en possession de l’appelante et que, d’autre part, l’appelante et sa sœur [...] entendaient altérer ledit journal par le retrait de certains passages. L’appelante ne saurait de bonne foi se prévaloir du courrier du 10 mai 2017 et prétendre n’avoir jamais été en possession des archives de sa mère (art. 2 al. 1 CC), dès lors qu’elle a elle-même affirmé le contraire dans le courrier du 28 octobre 2016 susmentionné. Le fait que les biens litigieux, et particulièrement le journal intime, soient toujours en possession de l’appelante ou qu’ils soient en possession de ses sœurs – comme le prétend l’appelante dans son courrier du 31 octobre 2017 – ou même d’un tiers ne fait pas obstacle à l’application du ch. II du dispositif de l’ordonnance litigieuse, dès lors qu’une action en partage est pendante et que les héritiers doivent fournir des renseignements sur tout ce qui est à même d’influencer le partage (art. 610 al. 2 CC). Il en va de même du ch. III du dispositif susmentionné, puisque l’appelante a l’interdiction de disposer seule des biens de la succession (653 al. 2 CC et 602 al. 2 CC). L’on ne saurait ainsi reprocher au premier juge d’avoir constaté les faits de manière inexacte, de sorte que le grief de l’appelante doit être rejeté.</w:t>
      </w:r>
    </w:p>
    <w:p>
      <w:r>
        <w:rPr>
          <w:b/>
        </w:rPr>
        <w:t>E. 4.1.1</w:t>
      </w:r>
    </w:p>
    <w:p>
      <w:r>
        <w:t>Au chapitre de la violation du droit, l’appelante se plaint tout d’abord de ce que le premier juge aurait à tort admis la requête de mesures provisionnelles alors qu’elle n’était pas dirigée contre l’ensemble des cohéritières. Elle se prévaut d’une violation des art. 70 al. 1 CPC et 602 al. 2 CC.</w:t>
      </w:r>
    </w:p>
    <w:p>
      <w:r>
        <w:rPr>
          <w:b/>
        </w:rPr>
        <w:t>E. 4.1.2</w:t>
      </w:r>
    </w:p>
    <w:p>
      <w:r>
        <w:t>De son côté, l’intimée fait valoir que la consorité matérielle nécessaire souffrirait des exceptions en cas d’urgence, ce qui serait précisément le cas de la présente procédure de mesures provisionnelles.</w:t>
      </w:r>
    </w:p>
    <w:p>
      <w:r>
        <w:rPr>
          <w:b/>
        </w:rPr>
        <w:t>E. 4.2</w:t>
      </w:r>
    </w:p>
    <w:p>
      <w:r>
        <w:t>La consorité (matérielle) nécessaire est imposée par le droit matériel, qui détermine les cas dans lesquels plusieurs parties doivent agir ou défendre ensemble. Sous sa forme active, elle est réalisée lorsque plusieurs personnes sont ensemble titulaires du droit en cause, de sorte que chacune ne peut pas l'exercer seule en justice. Sont ainsi consorts nécessaires les membres d'une communauté du droit civil qui sont ensemble titulaires d'un même droit. Ces principes trouvent application en matière de succession indivise (art. 602 CC ; Jeandin, op. cit., n.</w:t>
      </w:r>
    </w:p>
    <w:p>
      <w:r>
        <w:rPr>
          <w:b/>
        </w:rPr>
        <w:t>E. 4.3</w:t>
      </w:r>
    </w:p>
    <w:p>
      <w:r>
        <w:t>En l’espèce, l’intimée a ouvert une action en partage contre l’ensemble de ses cohéritières le 6 décembre 2016 et cette procédure a été suspendue en vue de s’assurer de la notification en bonne et due forme des actes judiciaires à sa sœur [...] domiciliée aux [...]. Il découle de cette suspension et de la durée de la procédure de notification dans le pays précité que l’on ne pouvait exiger de l’intimée qu’elle agisse à titre provisionnel contre l’ensemble de ses cohéritières, puisqu’au vu du contenu du courrier du 28 octobre 2016, relatif à des prélèvements dans le journal intime de la défunte, il y avait urgence à agir pour protéger les biens de la succession. C’est ainsi à raison que l’intimée a agi contre celle des cohéritières dont il était vraisemblable qu’elle possède les biens litigieux et que le premier juge a admis la légitimation passive de l’appelante. Le grief de l’appelante relatif à la violation du principe de la consorité matérielle nécessaire doit ainsi être écarté.</w:t>
      </w:r>
    </w:p>
    <w:p>
      <w:r>
        <w:rPr>
          <w:b/>
        </w:rPr>
        <w:t>E. 5</w:t>
      </w:r>
    </w:p>
    <w:p>
      <w:r>
        <w:t>ad art. 70 CPC). Les consorts nécessaires doivent agir ensemble ou être mis en cause ensemble (cf. art. 70 al. 1 CPC). Lorsque l'action n'est pas introduite par toutes les parties tenues de procéder en commun ou qu'elle n'est pas dirigée contre celles-ci, il y a défaut de légitimation active ou passive et la demande sera rejetée. Le principe de l'action commune souffre toutefois des tempéraments. Lorsqu’il y a urgence , l’héritier a la qualité pour agir seul pour la succession toute entière ou pour sa part (ATF 74 II 215, JdT 1949 I 264 ; ATF 58 II 195, JdT 1933 I 564 ; Steinauer, op. cit., n. 1228a ; Haldy/Haldy, L’hoirie et les héritiers en procédure civile, in Mélanges Suzette Sandoz, 2006, p. 372 ; Escher/Escher, Zürcher Kommentar, tome III/1, 3 e éd., 1960, n. 60 ad art. 602 CC ; Tuor/Picenoni, Berner Kommentar tome III/2, 2 e éd., 1964, n. 20 ad art. 602 CC).</w:t>
      </w:r>
    </w:p>
    <w:p>
      <w:r>
        <w:rPr>
          <w:b/>
        </w:rPr>
        <w:t>E. 5.1</w:t>
      </w:r>
    </w:p>
    <w:p>
      <w:r>
        <w:t>Dans un dernier moyen, l’appelante soutient que les conditions de l’art. 261 al. 1 CPC ne seraient pas remplies, dès lors qu’elle se serait engagée à ne pas disposer des biens litigieux et que l’intimée aurait tardé à agir après l’envoi du courrier du 28 octobre 2016. Elle prétend encore que la requête visait à l’obtention de mesures d’exécution anticipée, lesquelles ne sont admises que restrictivement.</w:t>
      </w:r>
    </w:p>
    <w:p>
      <w:r>
        <w:rPr>
          <w:b/>
        </w:rPr>
        <w:t>E. 5.2</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Toute mesure provisionnelle présuppose la nécessité d’une protection immédiate en raison d’un danger imminent menaçant ses droits (Hohl, Procédure civile, tome Il, 2 e éd., 2010 [cité ci-après : Hohl, Procédure civile], n. 1758).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consid. 6.3 ; Hohl, Procédure civile, op. cit., n. 176).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 citées).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CPC commenté, 2011, n. 12 ad art. 261 CPC) ; de façon générale, il y a urgence chaque fois que le retard apporté à une solution provisoire met en péril les intérêts d’une des parties (Hohl, La réalisation du droit et les procédures rapides,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 er février 2005). Ainsi, sa requête risque d’être rejetée si le tribunal arrive à la conclusion qu’une procédure ordinaire introduite à temps aurait abouti un jugement au fond dans des délais équivalents (Bohnet, op. cit., n. 12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w:t>
      </w:r>
    </w:p>
    <w:p>
      <w:r>
        <w:rPr>
          <w:b/>
        </w:rPr>
        <w:t>E. 5.3</w:t>
      </w:r>
    </w:p>
    <w:p>
      <w:r>
        <w:t>En l’espèce, l’intimée a ouvert une action en partage le 6 décembre 2016, soit environ un mois après le courrier du 28 octobre 2016, de sorte que l’on ne saurait lui reprocher d’avoir tardé à agir. C’est de manière contradictoire que l’appelante se prévaut du fait qu’elle se serait engagée à ne pas disposer des biens litigieux pour démontrer l’absence de préjudice difficilement réparable de l’intimée, puisque par la présente procédure d’appel elle conteste justement l’obligation lui ayant été faite par le premier juge de ne pas disposer desdits biens. Au vu de la teneur du courrier du 28 octobre 2016, les biens de la succession étaient manifestement exposés à un risque d’altération, de sorte que la condition du préjudicie difficilement réparable est remplie. L’on relèvera encore que l’appelante n’est manifestement pas lésée par l’ordonnance attaquée vu qu’il lui est simplement fait interdiction de disposer des objets appartenant à la succession de sa mère et obligation de renseigner sur l’emplacement de certains d’entre eux. Pour le surplus, contrairement à ce que soutient l’appelante, le dispositif attaqué ne peut être assimilé à une mesure d’exécution anticipée susceptible d’avoir un effet définitif, dès lors que le litige a toujours un objet au-delà du prononcé de la mesure requise. Le dernier moyen de l’appelante doit ainsi être rejeté.</w:t>
      </w:r>
    </w:p>
    <w:p>
      <w:r>
        <w:rPr>
          <w:b/>
        </w:rPr>
        <w:t>E. 6</w:t>
      </w:r>
    </w:p>
    <w:p>
      <w:r>
        <w:t>Au vu de ce qui précède, l’appel doit être rejeté et l’ordonnance entreprise confirmée. Les frais judiciaires de deuxième instance, arrêtés à 1’150 fr. (art. 65 al. 1 TFJC [tarif des frais judiciaires civils du 28 septembre 2010 ; RSV 270.11.5]), y compris 300 fr. pour la requête d’effet suspensif déposée en appel (cf. art. 7 al. 1 et 30 TFJC), seront mis à la charge de l’appelante E.________, qui succombe (art. 106 al. 1 CPC). L’appelante E.________ versera à l’intimée Y.________ la somme de 1’500 fr. (art. 3 al. 4 et 9 al. 2 TDC [tarif des dépens en matière civile du 23 novembre 2010 ; RSV 270.11.6]) à titre de dépens de deuxième instance. Par ces motifs, Le juge délégué de la Cour d’appel civile prononce : I. L’appel est rejeté. II. L’ordonnance est confirmée. III. Les frais judiciaires de deuxième instance, arrêtés à 1'150 fr. (mille cent cinquante francs), sont mis à la charge de l’appelante E.________. IV. L’appelante E.________ versera à l’intimée Y.________ la somme de 1'500 fr. (mille cinq cent francs) à titre de dépens de deuxième instance. V. L’arrêt est exécutoire. Le juge délégué : La greffière : Du Le présent arrêt, dont la rédaction a été approuvée à huis clos, est notifié en expédition complète à : ‑ Me François Roux (pour E.________), ‑ Me Lorraine Ruf (pour Y.________)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