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312 vom 9. März 2018</w:t>
      </w:r>
    </w:p>
    <w:p>
      <w:r>
        <w:t>VD Tribunal cantonal, 2018-03-09, FR</w:t>
      </w:r>
    </w:p>
    <w:p>
      <w:r>
        <w:rPr>
          <w:b/>
        </w:rPr>
        <w:t xml:space="preserve">Quelle: </w:t>
      </w:r>
      <w:r>
        <w:t>https://mcp.opencaselaw.ch/entscheid/vd_findinfo_HC___2018___312</w:t>
      </w:r>
    </w:p>
    <w:p>
      <w:r>
        <w:t>FR: VD_FINDINFO HC / 2018 / 312 du 9 mars 2018</w:t>
      </w:r>
    </w:p>
    <w:p>
      <w:r>
        <w:t>IT: VD_FINDINFO HC / 2018 / 312 del 9 marzo 2018</w:t>
      </w:r>
    </w:p>
    <w:p>
      <w:pPr>
        <w:pStyle w:val="Heading2"/>
      </w:pPr>
      <w:r>
        <w:t>Regeste</w:t>
      </w:r>
    </w:p>
    <w:p>
      <w:r>
        <w:t>AMENDE, RÉDUCTION{EN GÉNÉRAL} | 128 al. 1 CPC (CH), 319 let. b ch. 1 CPC (CH)</w:t>
      </w:r>
    </w:p>
    <w:p>
      <w:pPr>
        <w:pStyle w:val="Heading2"/>
      </w:pPr>
      <w:r>
        <w:t>Erwägungen</w:t>
      </w:r>
    </w:p>
    <w:p>
      <w:r>
        <w:rPr>
          <w:b/>
        </w:rPr>
        <w:t>E. 1</w:t>
      </w:r>
    </w:p>
    <w:p>
      <w:r>
        <w:t>La voie du recours est ouverte contre les amendes disciplinaires (art. 128 al. 4 CPC). Le recours, écrit et motivé, est introduit auprès de l'instance de recours, en l'occurrence la Chambre des recours civile (art. 73 al. 1 LOJV [loi d'organisation judiciaire du 12 décembre 1979 ; RSV 173.01]) dans les 30 jours à compter de la notification de la décision motivée ou de la notification postérieure de la motivation (art 321 al. 1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Il,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3.1</w:t>
      </w:r>
    </w:p>
    <w:p>
      <w:r>
        <w:t>La recourante ne conteste pas le principe de l’amende mais son montant qu’elle estime excessif. Elle souhaite « une diminution de l’amende ou une réduction de moitié ». Cela étant, on peut admettre que la recourante conclut implicitement à la réforme du prononcé attaqué, en ce sens que l’amende litigieuse est réduite de moitié, seule conclusion recevable, dès lors qu’il appartient à la partie qui recourt de chiffrer ses conclusions, sous peine d’irrecevabilité (ATF 137 III 617 consid. 4.3 et 4.4 et les références citées, rés. in SJ 2012 I 373 ; CREC 11 juillet 2014/238 ; TF 4D_61/2011 du 26 octobre 2011 consid. 2, RSPC 2012 p. 92).</w:t>
      </w:r>
    </w:p>
    <w:p>
      <w:r>
        <w:rPr>
          <w:b/>
        </w:rPr>
        <w:t>E. 3.2</w:t>
      </w:r>
    </w:p>
    <w:p>
      <w:r>
        <w:t>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En application des principes de la proportionnalité (art. 5 al. 2 Cst.) et de la bonne foi (art. 5 al. 3 Cst. et art. 52 CPC), ainsi que pour respecter le droit d'être entendu (Bohnet, CPC annoté, Bâle 2016, n. 2 ad art. 128 CPC) de la personne visée par une mesure disciplinaire (art. 29 al. 2 Cst.), cette dernière doit être rendue attentive à la menace qui pèse sur elle avant qu'une telle mesure ne soit prononcée à son encontre (ATF 141 III 265 consid. 5.2 ; TF 4A_502/2014 du 9 juillet 2015 ; TF 4A_664/2014 du 10 juillet 2015). Dans l'ATF 141 III 265, le Tribunal fédéral a admis que les mesures disciplinaires prévues par l'art. 128 CPC peuvent être prononcées par l'autorité de conciliation en cas de défaut de comparution à l'audience de conciliation (consid. 4.3). Il ne considère pas d'emblée exclu que l'autorité de conciliation sanctionne une partie qui ne se présente pas à l'audience de conciliation sans motif et qui ne fait ainsi pas seulement défaut, mais en même temps viole son devoir de comparution personnelle découlant de l'art. 204 al. 1 CPC (consid. 5.1). Si cet arrêt se rapporte ainsi au motif du défaut, et non à un motif justifié, il précise cependant également à son considérant 5.1 qu'une sanction disciplinaire fondée sur l'art. 128 CPC suppose que la non comparution à l'audience de conciliation entraîne une perturbation du déroulement de la procédure selon l'art. 128 al. 1 CPC, respectivement constitue un comportement de mauvaise foi ou un procédé téméraire selon l'art. 128 al. 3 CPC, avant de laisser indécise la question de la réalisation de ces conditions dans la cause examinée. Il s'ensuit qu'il suffit en principe que l'une des conditions précitées de l'art. 128 al. 1 ou 3 CPC soit réalisée pour qu'une sanction disciplinaire entre en ligne de compte, le motif ayant conduit au défaut n'étant pas déterminant au stade du principe de la sanction à prononcer en application de la disposition précitée, mais pouvant le cas échéant être pris en considération au stade de la quotité de la sanction prononcée (CREC 17 juin 2016/219). Dans deux arrêts rendus récemment (TF 4A_124/2016 et TF 4A_126/2016 du 17 mars 2016), le montant des amendes fixées par des commissions de conciliation en matière de baux a été réduit par les autorités cantonales de 1'000 fr. à 500 francs. La Chambre de céans a en outre été amenée à réduire une amende de 800 fr. à 300 fr. dès lors que la non comparution avait été annoncée la veille (CREC 21 décembre 2016/510 consid. 3.2 ; CREC 17 juin 2016/219).</w:t>
      </w:r>
    </w:p>
    <w:p>
      <w:r>
        <w:rPr>
          <w:b/>
        </w:rPr>
        <w:t>E. 3.3</w:t>
      </w:r>
    </w:p>
    <w:p>
      <w:r>
        <w:t>En l’espèce, conformément à la jurisprudence précitée, et dès lors que la recourante avait averti, certes tardivement, qu’elle ne pourrait pas se présenter à l’audience de conciliation pour des raisons d’organisation professionnelle, l’amende prononcée par le premier juge – d’un montant de 750 fr., se situant dès lors en haut de la fourchette prévue par l’art. 128 al. 1 CPC – apparaît trop élevée . Le manquement reproché à la recourante n’étant en définitive pas considéré comme grave, le montant de l’amende sera réduit à 400 francs.</w:t>
      </w:r>
    </w:p>
    <w:p>
      <w:r>
        <w:rPr>
          <w:b/>
        </w:rPr>
        <w:t>E. 4</w:t>
      </w:r>
    </w:p>
    <w:p>
      <w:r>
        <w:t>Au vu de ce qui précède, le recours doit être partiellement admis et le prononcé entrepris réformé au chiffre I de son dispositif en ce sens que A.P.________ est condamnée au paiement d’une amende de 400 francs. Les frais judiciaires de deuxième instance, arrêtés à 100 fr. (art. 69 al. 1 TFJC [tarifs des frais judiciaires civils du 28 septembre 2010 ; RSV 270.11.5]), seront mis par moitié à la charge de la recourante, le solde étant laissé à la charge de l’Etat. L’intimé n’ayant pas été invité à se déterminer sur le recours, il n’y a pas matière à l’allocation de dépens. Par ces motifs, la Chambre des recours civile du Tribunal cantonal, prononce : I. Le recours est partiellement admis. II. Le prononcé est réformé comme il suit au chiffre I de son dispositif : I. condamne A.P.________ au paiement d’une amende disciplinaire d’un montant de 400 fr. (quatre cents francs) ; Le prononcé est confirmé pour le surplus. III. Les frais judiciaires de deuxième instance, arrêtés à 100 fr. (cent francs), sont mis par moitié à la charge de la recourante A.P.________, le solde étant laissé à la charge de l’Etat. IV. L’arrêt est exécutoire. Le président :               Le greffier : Du L'arrêt qui précède, dont la rédaction a été approuvée à huis clos, est notifié à : ‑ A.P.________, ‑ Me Sébastien Pedroli (pour M. B.P.________).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