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28 vom 1. Dezember 2017</w:t>
      </w:r>
    </w:p>
    <w:p>
      <w:r>
        <w:t>VD Tribunal cantonal, 2017-12-01, FR</w:t>
      </w:r>
    </w:p>
    <w:p>
      <w:r>
        <w:rPr>
          <w:b/>
        </w:rPr>
        <w:t xml:space="preserve">Quelle: </w:t>
      </w:r>
      <w:r>
        <w:t>https://mcp.opencaselaw.ch/entscheid/vd_findinfo_HC___2018___28</w:t>
      </w:r>
    </w:p>
    <w:p>
      <w:r>
        <w:t>FR: VD_FINDINFO HC / 2018 / 28 du 1 décembre 2017</w:t>
      </w:r>
    </w:p>
    <w:p>
      <w:r>
        <w:t>IT: VD_FINDINFO HC / 2018 / 28 del 1 dicembre 2017</w:t>
      </w:r>
    </w:p>
    <w:p>
      <w:pPr>
        <w:pStyle w:val="Heading2"/>
      </w:pPr>
      <w:r>
        <w:t>Regeste</w:t>
      </w:r>
    </w:p>
    <w:p>
      <w:r>
        <w:t>POUVOIR DE REPRÉSENTATION | 32 CO, 38 al. 1 CO, 718a CO</w:t>
      </w:r>
    </w:p>
    <w:p>
      <w:pPr>
        <w:pStyle w:val="Heading2"/>
      </w:pPr>
      <w:r>
        <w:t>Erwägungen</w:t>
      </w:r>
    </w:p>
    <w:p>
      <w:r>
        <w:rPr>
          <w:b/>
        </w:rPr>
        <w:t>E. 1.1</w:t>
      </w:r>
    </w:p>
    <w:p>
      <w:r>
        <w:t>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selon l’art. 321 al. 1 CPC.</w:t>
      </w:r>
    </w:p>
    <w:p>
      <w:r>
        <w:rPr>
          <w:b/>
        </w:rPr>
        <w:t>E. 1.2</w:t>
      </w:r>
    </w:p>
    <w:p>
      <w:r>
        <w:t>En l’espèce, le recours, écrit et motivé, portant sur des conclusions d’une valeur litigieuse inférieure à 10'000 fr. et déposé en temps utile par une partie qui y a un intérêt digne de protection (art. 59 al. 2 let. a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La pièce produite par M.________ (ci-après : le recourant) est recevable, dès lors qu’elle figurait déjà au dossier de première instance (art. 326 al. 1 CPC a contrario ).</w:t>
      </w:r>
    </w:p>
    <w:p>
      <w:r>
        <w:rPr>
          <w:b/>
        </w:rPr>
        <w:t>E. 3</w:t>
      </w:r>
    </w:p>
    <w:p>
      <w:r>
        <w:t>et 4) ; pour engager la société, plusieurs représentants autorisés doivent agir ensemble, en apposant collectivement leur signature (Peter/Cavadini, Commentaire romand, Code des obligations II, 2 e éd., 2017, n. 22 ad art. 718a CO).</w:t>
      </w:r>
    </w:p>
    <w:p>
      <w:r>
        <w:rPr>
          <w:b/>
        </w:rPr>
        <w:t>E. 3.1</w:t>
      </w:r>
    </w:p>
    <w:p>
      <w:r>
        <w:t>Le recourant conteste sa légitimation passive. Il prétend, en substance, qu'il n'aurait aucune relation contractuelle avec Z.________ (ci-après : l’intimée) dont la volonté aurait été de conclure un contrat avec D.________, dotée de la personnalité juridique et à laquelle elle aurait adressé les factures que D.________ aurait payées. Le recourant en veut pour preuve que l'intimée avait examiné la solvabilité de D.________ et non pas celle du recourant, qu’elle avait admis n'avoir jamais discuté avec lui mais seulement avec son frère et qu'elle avait reconnu avoir agi contre lui uniquement par gain de temps. Selon le recourant, l’intimée n’aurait pas apporté la preuve que D.________ représentait le recourant et le but de cette société, qui intervient en qualité d’entreprise générale, ne lui permettrait pas d’intervenir comme représentant.</w:t>
      </w:r>
    </w:p>
    <w:p>
      <w:r>
        <w:rPr>
          <w:b/>
        </w:rPr>
        <w:t>E. 3.2.1</w:t>
      </w:r>
    </w:p>
    <w:p>
      <w:r>
        <w:t>La qualité pour défendre (ou légitimation passive) appartient aux conditions matérielles de la prétention litigieuse. Elle se détermine selon le droit de fond. L'admission de la légitimation passive signifie que le demandeur peut faire valoir sa prétention contre le défendeur, en tant que sujet passif de l'obligation en cause (ATF 138 III 537 consid. 2.2.1 ; ATF 136 III 365 consid. 2.1 ; ATF 126 III 59 consid. 1a ; ATF 125 III 82 consid. 1a ; TF 4A_8/2014 du 6 juin 2014 consid. 2.3). L'absence de légitimation (active ou passive) entraîne le rejet de l'action (ATF 128 III 50 consid. 2b/bb ; TF 4A_8/2014 du 6 juin 2014 consid. 1.1).</w:t>
      </w:r>
    </w:p>
    <w:p>
      <w:r>
        <w:rPr>
          <w:b/>
        </w:rPr>
        <w:t>E. 3.2.2</w:t>
      </w:r>
    </w:p>
    <w:p>
      <w:r>
        <w:t>Le pouvoir de représenter une société anonyme est régi par l'art. 718 CO (Code des obligations du 30 mars 1911 ; RS 220). L'art. 718a al. 2 CO permet d'inscrire au registre du commerce – et donc d'opposer aux tiers (cf. art. 933 al. 1 CO) – une forme particulière de restriction du pouvoir de représentation, à savoir la représentation collective (ou commune) de la société (cf. ATF 121 III 368 consid.</w:t>
      </w:r>
    </w:p>
    <w:p>
      <w:r>
        <w:rPr>
          <w:b/>
        </w:rPr>
        <w:t>E. 3.2.3</w:t>
      </w:r>
    </w:p>
    <w:p>
      <w:r>
        <w:t>Les conditions dans lesquelles une personne peut, sans s'engager elle-même, conclure un contrat au nom et pour le compte d'autrui en tant que représentant direct sont réglées par les art. 32 ss CO (TF 4A_473/2011 du 22 décembre 2011 consid. 1.1 et la réf. citée). En cas de représentation collective, la signature d'un seul représentant ne lie en principe pas la société. Il peut toutefois être remédié ultérieurement au défaut de pouvoir de représentation.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(ATF 128 III 129 consid. 2b ; TF 4A_36/2011 du 15 mars 2011 consid. 2.2.2 ; TF 4A_87/2011 du 16 mai 2011 consid. 2.1 et les réf. citées). Celui qui attend d'être recherché personnellement pour faire état de sa qualité de représentant, qu'il n'a pas révélée lors de la conclusion du contrat, commet un abus de droit manifeste ( venire contra factum proprium ) qui n'est pas protégé par la loi en vertu de l'art. 2 al. 2 CC (Code civil suisse du 10 décembre 1907 ; RS 210) (ATF 117 II 387 consid. 2a).</w:t>
      </w:r>
    </w:p>
    <w:p>
      <w:r>
        <w:rPr>
          <w:b/>
        </w:rPr>
        <w:t>E. 3.3</w:t>
      </w:r>
    </w:p>
    <w:p>
      <w:r>
        <w:t>Sur la question de savoir si le recourant s'était engagé en son nom personnel ou en tant que représentant de la société, le premier juge a retenu que l'instruction n'avait pas permis d'établir la nature de certaines factures précédentes ni les circonstances de leur paiement par D.________. S'agissant des factures litigieuses, le premier juge a considéré D.________ comme étant seulement la directrice des travaux et, en tant que telle, l'auxiliaire selon l'art. 101 CO du recourant pour le paiement des factures. Le premier juge s'est appuyé sur les propres termes du recourant, selon lesquels il payait les travaux en sa qualité de propriétaire par l'intermédiaire de D.________. Cette société recevait du fond de construction du recourant l'argent pour acquitter les factures validées par les bons de paiement signés notamment par le recourant en tant que propriétaire.</w:t>
      </w:r>
    </w:p>
    <w:p>
      <w:r>
        <w:rPr>
          <w:b/>
        </w:rPr>
        <w:t>E. 3.4.1</w:t>
      </w:r>
    </w:p>
    <w:p>
      <w:r>
        <w:t>En l’espèce, contrairement à ce que le recourant soutient, en invoquant la violation de l'art. 32 CO sur lequel le premier juge ne s'est cependant pas fondé dans ce contexte, on ne peut exclure que les parties au contrat d'entreprise générale, soit le recourant et D.________, se soient entendues – à tout le moins dans un premier temps – sur la manière de faire décrite ci-dessus, les parties pouvant aménager librement leur relation contractuelle dans ce cadre. Quoi qu'il en soit, s'agissant des factures litigieuses, D.________ les a expressément contestées auprès de l'intimée à l'occasion des rappels que celle-ci lui a adressés, ce qui signifie que la société D.________ refusait expressément d'approuver, soit de valider postérieurement les factures litigieuses, au motif que le recourant avait agi seul alors qu'il ne pouvait valablement engager la société de manière individuelle. Le raisonnement du premier juge consistant à retenir que dans ces conditions l'intimée ne pouvait pas de bonne foi s'en prendre à la société D.________, mais bien au recourant, ne prête pas le flanc à la critique.</w:t>
      </w:r>
    </w:p>
    <w:p>
      <w:r>
        <w:rPr>
          <w:b/>
        </w:rPr>
        <w:t>E. 3.4.2</w:t>
      </w:r>
    </w:p>
    <w:p>
      <w:r>
        <w:t>En outre, la décision attaquée n'est pas arbitraire en tant qu'elle ne s'est pas fondée sur la déclaration – dénuée de pertinence – de l'intimée, selon laquelle celle-ci n'aurait jamais discuté avec le recourant mais uniquement avec son frère, le recourant ayant lui-même contredit ces propos en déclarant lors de son audition qu'il n'avait pas donné d'instructions à son frère concernant l'envoi des factures à D.________ mais qu'il s'en était chargé lui-même en allant chercher du matériel. Il en va de même s'agissant de la déclaration du témoin L.________ selon laquelle l'intimée s'était limitée à contrôler la solvabilité de D.________, dès lors que cet élément, dénué de pertinence au regard de l'intervention de D.________ auprès de l'intimée au sujet des factures litigieuses, ne suffit de toute manière pas à démontrer l'arbitraire de la décision attaquée.</w:t>
      </w:r>
    </w:p>
    <w:p>
      <w:r>
        <w:rPr>
          <w:b/>
        </w:rPr>
        <w:t>E. 4</w:t>
      </w:r>
    </w:p>
    <w:p>
      <w:r>
        <w:t>Se prévalant encore de la constatation manifestement inexacte des faits le recourant se limite à reprendre une partie des propos du témoin L.________ qui avait notamment déclaré « si nous avons ouvert action contre M.________ c'est par souci d'économie de temps » ; ce témoin avait cependant ajouté « dès lors qu'il est le principal intéressé en tant que propriétaire ». Ce faisant, le recourant ne démontre pas que le premier juge serait tombé dans l'arbitraire en s'appuyant notamment sur les propos du recourant lui-même selon lesquels il payait les travaux en sa qualité de propriétaire, ce qui concorde en définitive avec la déclaration du témoin L.________ qui considérait le recourant comme le principal intéressé en tant que propriétaire ; ce témoin avait du reste également déclaré « dans mon esprit, c'était M.________ qui était le client et la société D.________ n'était qu'une adresse de facturation ». Partant, les moyens sont infondés.</w:t>
      </w:r>
    </w:p>
    <w:p>
      <w:r>
        <w:rPr>
          <w:b/>
        </w:rPr>
        <w:t>E. 5</w:t>
      </w:r>
    </w:p>
    <w:p>
      <w:r>
        <w:t>En définitive, le recours, manifestement infondé, doit être rejeté selon le mode procédural de l’art. 322 al. 1 CPC et la décision entreprise doit être confirmée. Les frais judiciaires de deuxième instance, arrêtés à 400 fr. (art. 69 al. 1 TFJC [tarif des frais judiciaires civils du 28 septembre 2010 ; RSV 270.11.5]) y compris les frais de la requête d’effet suspensif déposée en appel (cf. art. 7 al. 1 et 30 TFJC), seront mis à la charge du recourant M.________, qui succombe (art. 106 al. 1 CPC). Le recourant M.________ versera à l’intimée Z.________, ayant été invitée à se déterminer uniquement sur la procédure d’effet suspensif, la somme de 100 fr. (art. 8 TDC [tarif des dépens en matière civile du 23 novembre 2010 ; RSV 270.11.6]) à titre de dépens de deuxième instance. Par ces motifs, en application de l'art. 322 al. 1 CPC, la Chambre des recours civile du Tribunal cantonal, prononce : I. Le recours est rejeté. II. La décision est confirmée. III. Les frais judiciaires de deuxième instance, arrêtés à 400 fr. (quatre cents francs), sont mis à la charge du recourant M.________. IV. Le recourant M.________ doit verser à l’intimée Z.________ la somme de 100 fr. (cent francs) à titre de dépens de deuxième instance. IV. L’arrêt est exécutoire. Le vice-président : La greffière : Du L'arrêt qui précède, dont la rédaction a été approuvée à huis clos, est notifié à : ‑ Me Serge Demierre (pour M.________), ‑ Me Youri Diserens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