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227 vom 4. Dezember 2017</w:t>
      </w:r>
    </w:p>
    <w:p>
      <w:r>
        <w:t>VD Tribunal cantonal, 2017-12-04, FR</w:t>
      </w:r>
    </w:p>
    <w:p>
      <w:r>
        <w:rPr>
          <w:b/>
        </w:rPr>
        <w:t xml:space="preserve">Quelle: </w:t>
      </w:r>
      <w:r>
        <w:t>https://mcp.opencaselaw.ch/entscheid/vd_findinfo_HC___2018___227</w:t>
      </w:r>
    </w:p>
    <w:p>
      <w:r>
        <w:t>FR: VD_FINDINFO HC / 2018 / 227 du 4 décembre 2017</w:t>
      </w:r>
    </w:p>
    <w:p>
      <w:r>
        <w:t>IT: VD_FINDINFO HC / 2018 / 227 del 4 dicembre 2017</w:t>
      </w:r>
    </w:p>
    <w:p>
      <w:pPr>
        <w:pStyle w:val="Heading2"/>
      </w:pPr>
      <w:r>
        <w:t>Regeste</w:t>
      </w:r>
    </w:p>
    <w:p>
      <w:r>
        <w:t>DROIT DE GARDE, AUDITION DE L'ENFANT, GARDE ALTERNÉE | 176 al. 3 CC, 298 al. 2 CC, 298 al. 2ter CC, 298 al. 1 CPC (CH)</w:t>
      </w:r>
    </w:p>
    <w:p>
      <w:pPr>
        <w:pStyle w:val="Heading2"/>
      </w:pPr>
      <w:r>
        <w:t>Erwägungen</w:t>
      </w:r>
    </w:p>
    <w:p>
      <w:r>
        <w:rPr>
          <w:b/>
        </w:rPr>
        <w:t>E. 1.1</w:t>
      </w:r>
    </w:p>
    <w:p>
      <w:r>
        <w:t>L'appel est recevable contre les ordonnances de mesures provisionnelles et les mesures protectrices de l'union conjugale et doit être déposé dans les dix jours (art. 314 al. 1 CPC [ Code de procédure civile du 19 décembre 2008 ; RS 272] ). Un membre de la Cour d'appel civile statue comme juge unique sur les appels formés contre les décisions sur mesures provisionnelles et sur mesures protectrices de l'union conjugale (art. 84 al. 2 LOJV [ Loi d'organisation judiciaire du 12 décembre 1979 ; RSV 173.01] ).</w:t>
      </w:r>
    </w:p>
    <w:p>
      <w:r>
        <w:rPr>
          <w:b/>
        </w:rPr>
        <w:t>E. 1.2</w:t>
      </w:r>
    </w:p>
    <w:p>
      <w:r>
        <w:t>S'agissant d'une décision portant sur des conclusions non patrimoniales et formé en temps utile par des parties qui y ont intérêt,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2.2</w:t>
      </w:r>
    </w:p>
    <w:p>
      <w:r>
        <w:t>Les conclusions ne peuvent être modifiées en appel que si les conditions fixées à l'art. 227 al. 1 CPC sont remplies et, cumulativement, que la modification repose sur des faits ou des moyens de preuve nouveaux (art. 317 al. 2 CPC). Cette limitation ne vaut pas, lorsque la maxime d'office est applicable, les conclusions des parties n'étant que des propositions qui ne lient pas le juge ( Reetz/Hilber, Kommentar zur Schweizerischen Zivilprozessordnung [ZPO Kommentar], 2 e édition, n. 76 ad art. 317 CPC).</w:t>
      </w:r>
    </w:p>
    <w:p>
      <w:r>
        <w:rPr>
          <w:b/>
        </w:rPr>
        <w:t>E. 2.3</w:t>
      </w:r>
    </w:p>
    <w:p>
      <w:r>
        <w:t>En l'espèce, les conclusions ne sont pas nouvelles, et le juge instruit de toute manière la cause d'office s'agissant de questions relevant du sort des enfants mineurs (art. 296 al. 1 et 3 CPC). La requête d'appel répond aux réquisits légaux.</w:t>
      </w:r>
    </w:p>
    <w:p>
      <w:r>
        <w:rPr>
          <w:b/>
        </w:rPr>
        <w:t>E. 3.1</w:t>
      </w:r>
    </w:p>
    <w:p>
      <w:r>
        <w:t>A titre de mesures d'instruction, l'appelante a requis tout d'abord la tenue d'une audience. Sur ce point, l'art. 316 al. 1 CPC prévoit que l'instance d'appel peut ordonner des débats ou statuer sur pièces. Il s’agit d’une possibilité que le juge reste libre d’ordonner. En l'espèce, des débats ne paraissent pas nécessaires, le dossier comportant déjà tous les éléments nécessaires à l'appui d'une prise de décision, les écritures des parties étant au surplus très complètes.</w:t>
      </w:r>
    </w:p>
    <w:p>
      <w:r>
        <w:rPr>
          <w:b/>
        </w:rPr>
        <w:t>E. 3.2.1</w:t>
      </w:r>
    </w:p>
    <w:p>
      <w:r>
        <w:t>L'appelante requiert également que les enfants C.T.________ et D.T.________ soient entendus par une autorité.</w:t>
      </w:r>
    </w:p>
    <w:p>
      <w:r>
        <w:rPr>
          <w:b/>
        </w:rPr>
        <w:t>E. 3.2.2</w:t>
      </w:r>
    </w:p>
    <w:p>
      <w:r>
        <w:t>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[ci-après : Message],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 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3.2.3</w:t>
      </w:r>
    </w:p>
    <w:p>
      <w:r>
        <w:t>En l'espèce, il ressort du dossier que, d'une part, les enfants sont pourvus d'une curatrice de représentation au sens de l'art. 299 al. 1 CPC et disposent ainsi de la possibilité de faire valoir leur point de vue, et d'autre part, et surtout, qu'ils ont déjà été soumis à deux expertises, dont l'une toujours en cours, que le SPJ est également chargé d'une évaluation, qu'une thérapie familiale a été précédemment mise en œuvre et qu'il paraît impératif de ne pas impliquer encore plus les enfants dans le conflit parental. Quoi qu’il en soit, le dossier comporte suffisamment d'éléments quant à leur position pour permettre de trancher le point soumis au juge d'appel, de sorte qu’une nouvelle audition des enfants par celui-ci serait excessive et contraire à leur intérêt, soit à leur besoin de protection.</w:t>
      </w:r>
    </w:p>
    <w:p>
      <w:r>
        <w:rPr>
          <w:b/>
        </w:rPr>
        <w:t>E. 3.3</w:t>
      </w:r>
    </w:p>
    <w:p>
      <w:r>
        <w:t>Ensuite, l'appelante requiert que la procédure d'appel soit suspendue jusqu'au dépôt du rapport d'expertise, selon décisions des 13 juin et 13 juillet 2017. La curatrice de représentation a adhéré à cette proposition. Il apparaît que la procédure est loin d'être terminée. Elle devra offrir la possibilité de se déterminer sur le rapport et impliquera une nouvelle analyse complète de la situation, avant qu'une décision au fond ne puisse être prise. Dès lors, suspendre la procédure d'appel jusqu'au dépôt du rapport ne ferait que retarder la procédure au fond, qui, faut-il le rappeler, doit se dérouler devant le juge de première instance pour permettre aux parties de bénéficier de la double instance. A ce stade de la procédure, les conclusions du rapport attendu ne sont pas nécessaires pour l'examen de la situation provisionnelle, telle qu'elle est soumise au juge de l'appel. Il ne sera donc pas fait droit à cette requête.</w:t>
      </w:r>
    </w:p>
    <w:p>
      <w:r>
        <w:rPr>
          <w:b/>
        </w:rPr>
        <w:t>E. 3.4</w:t>
      </w:r>
    </w:p>
    <w:p>
      <w:r>
        <w:t>Enfin, l'appelante requiert le retranchement des certificats médicaux établis par la Dresse [...] et produits par l’intimé en annexe à son courrier du 10 novembre 2017. Il ressort toutefois du courrier adressé par la Présidente aux parties le 22 novembre 2017 que ces pièces n'ont pas été prises en compte dans le cadre de la décision attaquée et que la question de leur retranchement serait examinée dans le cadre de la procédure au fond. S'agissant de la procédure d'appel, lesdites pièces sont recevables au vu de la maxime inquisitoire illimitée et du fait qu'il s'agit donc de nova . De plus, comme le relève à juste titre l'intimé, il s'agit de certificats médicaux attestant d'une part que les enfants vont bien, et d'autre part que les compétences parentales de l'intimé sont bonnes. A partir du moment où ce dernier bénéficie de l'autorité parentale conjointe, et qu'il s'agit d'éléments qui ne concernent que lui-même ou les enfants, d'ailleurs sous une forme on ne peut plus lacunaire, on ne voit pas pour quel motif ces pièces ne pourraient pas être produites dans la procédure d'appel et retenues pour autant que de besoin. Sur ce point également, la requête de l'appelante doit être rejetée.</w:t>
      </w:r>
    </w:p>
    <w:p>
      <w:r>
        <w:rPr>
          <w:b/>
        </w:rPr>
        <w:t>E. 4.1</w:t>
      </w:r>
    </w:p>
    <w:p>
      <w:r>
        <w:t>L'appelante conteste le passage de la garde à la mère à une garde alternée.</w:t>
      </w:r>
    </w:p>
    <w:p>
      <w:r>
        <w:rPr>
          <w:b/>
        </w:rPr>
        <w:t>E. 4.2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p.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w:t>
      </w:r>
    </w:p>
    <w:p>
      <w:r>
        <w:rPr>
          <w:b/>
        </w:rPr>
        <w:t>E. 4.3</w:t>
      </w:r>
    </w:p>
    <w:p>
      <w:r>
        <w:t>En l'espèce, il apparaît que le couple parental est séparé depuis 2012. De nombreuses décisions, portant principalement sur l'attribution de la garde et du droit de visite, ont été rendues depuis lors. Le premier juge affirme d'ailleurs que le conflit conjugal se cristallise autour des deux enfants. Un premier rapport d'expertise a été déposé par la Fondation X.________ le 28 mai 2014. Il était notamment relevé que la garde ne pouvait pas être partagée en raison d'une part du conflit parental et d'autre part du jeune âge des enfants. Diverses thérapies et suivis ont eu lieu depuis lors. En mai 2017, le SPJ a avisé le premier juge que l'évolution de la famille se poursuivait de manière positive et qu'une certaine entente était alors possible entre les parents. Il a toutefois indiqué ne pas pouvoir se déterminer sur une garde alternée. Par courrier du 14 juin 2017, la Présidente a mandaté la Fondation X.________ pour une expertise tendant à réévaluer la situation des enfants. Un délai au 13 avril 2018 lui est imparti pour le dépôt du rapport. Le premier juge a considéré que, depuis le rapport d’expertise de 2014, plus de trois ans s’étaient écoulés, soit une très longue période pour des enfants en bas âge qui n’avaient alors que 3 et 6 ans, désormais âgés de respectivement 6 et 10 ans. Il a également relevé que, dans la mesure où les enfants allaient bien, que les parents disposaient tous les deux de compétences parentales et que ces derniers paraissaient s’entendre s’agissant des questions qui concernaient les enfants, il était dans l’intérêt des enfants, notamment de l’aîné, de voir plus leur père. Enfin, il a estimé que la mise en place d’une garde alternée déjà à ce stade présentait l’avantage de permettre à l’expert de se prononcer concrètement sur un tel mode de prise en charge des enfants. L’appelante soutient qu’aucun élément nouveau depuis le rapport d’expertise du 28 mai 2014 ne justifiait de modifier l’attribution de la garde des enfants, que le premier juge avait lui-même considéré la nécessité d’une nouvelle évaluation de la situation dans l’optique d’une éventuelle garde alternée, de sorte qu’il ne pouvait s’estimer suffisamment renseigné sur l’intérêt des enfants avant d’avoir obtenu ledit rapport, que le courrier du SPJ sur lequel il fonde sa décision ne traitait pas de la question de la garde alternée et que le mémoire de droit de la curatrice des enfants ne donnait pas d’information s’agissant du régime qui serait conforme au bien des enfants, la curatrice s’en étant remise à justice sur les conclusions de la requête du 13 avril 2017, de sorte qu’elle estime que le premier juge a pris cette décision en l’absence d’éléments factuels probants et de manière contraire au devoir d’établir matériellement les faits en ce qui concerne le sort des enfants. L’appelante invoque encore que les compétences parentales ne seraient pas les seuls critères permettant de justifier l’instauration d’une garde alternée, mais uniquement la prémisse pour une entrée en matière sur ce point et qu’il faudrait également prendre en compte la situation géographique, le cercle social, la stabilité du maintien de la situation antérieure, le souhait de l’enfant et les possibilités organisationnelles des parents. Elle soutient que ces autres aspects n’auraient pas été pris en considération, que, selon le courrier du 29 septembre 2017 de la curatrice, les enfants n’auraient pas exprimé le souhait de voir plus leur père, que la question des activités extra-scolaires des enfants n’aurait pas été abordée, que le père n’aurait pas apporté la preuve du fait qu’il disposerait d’horaires de travail flexibles et donc que le premier juge aurait dû se pencher de manière plus intense sur la situation concrète des enfants et sur la faisabilité d’une garde alternée avant d’énoncer qu’elle était conforme à leur intérêt. Enfin, elle considère que cette décision serait contraire aux objectifs de stabilité des enfants puisque, selon le résultat de l’expertise, elle pourrait nécessiter de changer une nouvelle fois le mode de prise en charge des enfants et qu’aucune urgence ne justifierait un tel changement avant d’avoir obtenu l’avis de l’expert. La curatrice des enfants a quant à elle relevé l’importance d’éviter de multiplier les changements de système et qu’il était dans l’intérêt des enfants de les protéger et de ne pas prendre le risque de « jouer au ping-pong ». Elle a toutefois indiqué que les enfants se portaient bien et que la situation actuelle leur convenait mais qu’ils s’adaptaient facilement et que rien ne s’opposait à une garde alternée. Elle s’en est dès lors remise à justice sur ce point. Enfin, l’intimé considère que ce serait à raison que le premier juge a prononcé la garde partagée puisque l’on savait qu’elle ne constituait pas un danger pour les enfants et qu’elle paraissait, pour tous les intervenants, à ce stade, souhaitable afin que les experts puissent se prononcer sur une situation mise en œuvre et non sur une hypothèse de travail. Il y a lieu de constater, avec le premier juge, que la situation des enfants a évolué favorablement, sans toutefois que des nécessités de changement n'apparaissent. Si l'intimé a requis une garde alternée, il ressort des éléments disponibles à ce jour que les enfants ne souhaitent pas voir plus leur père, mais ne s'opposent pas non plus à ce que ce soit le cas. Le premier juge en a donc tiré l'argument qu'une garde alternée se justifiait, non seulement en raison du fait que plus de trois ans s'étaient écoulés depuis l'expertise qui avait émis un avis négatif, que les enfants étaient maintenant âgés de 6 et 10 ans, que les compétences parentales étaient suffisantes et que ce changement de garde aurait pour avantage de permettre à l'expert de se prononcer concrètement sur cette solution. On ne saurait partager cet avis. En effet, il faut relever plusieurs éléments. D'abord, si les enfants ont grandi depuis la première expertise, ils sont encore jeunes, 6 et 10 ans. Ensuite, à cet âge-là, la stabilité reste un critère déterminant. Si la situation parentale s'est partiellement apaisée, c'est notamment en raison de cette stabilité et de cette prévisibilité, qui sont importantes pour rassurer les enfants, leur bien passant avant toute autre considération. Ensuite, il paraît peu opportun de modifier un système qui a justement permis cette stabilité et prendre le risque de mettre à néant le résultat des nombreuses démarches qui ont été effectuées par les parties depuis 2012. Enfin, l'argument consistant à changer la garde pour permettre à l'expert de se prononcer concrètement sur ce point ne serait un avantage que si la garde alternée devait se révéler positive. Toutefois, dans le cas contraire, soit si l'expertise va en sens contraire, cela aurait pour conséquence d'imposer un retour à un système d'attribution de garde à l'un ou l'autre parent, avec pour conséquence une grande déstabilisation dans un environnement particulièrement fragile. Un tel changement ne peut donc intervenir qu'après le dépôt du rapport d'expertise, et non avant celui-ci, à titre expérimental. Il apparaît donc nécessaire d’obtenir les résultats de l’expertise en cours et de les mettre en relief avec les autres éléments du dossier et ainsi de pouvoir apprécier l’ensemble des circonstances et arguments des parties avant de se prononcer sur le mode de garde préconisé par l’intérêt prépondérant des enfants. En modifiant d’ores et déjà la garde le premier juge a procédé de manière prématurée. Le moyen est dès lors bien fondé.</w:t>
      </w:r>
    </w:p>
    <w:p>
      <w:r>
        <w:rPr>
          <w:b/>
        </w:rPr>
        <w:t>E. 5</w:t>
      </w:r>
    </w:p>
    <w:p>
      <w:r>
        <w:t>L'appel doit ainsi être admis, l'ordonnance réformée en ce sens que la requête de mesures provisionnelles du 13 avril 2017 est rejetée, la garde restant attribuée à l'appelante avec le droit de visite tel que mis en place par convention du 15 janvier 2013, ratifié séance tenante par la Présidente du Tribunal civil de l’arrondissement de l’Est vaudois pour valoir prononcé partiel de mesures protectrices de l’union conjugale. Les frais judiciaires de deuxième instance seront supportés par l'intimé qui succombe (art. 106 al. 1 CPC) et comprennent l'indemnité due à la curatrice (art. 95 al. 2 let. e CPC; Tappy et Jeandin, CPC commenté, nn. 20 ad art. 95 et 9 ad art. 300 CPC ; 5 RCur [ Règlement sur la rémunération des curateurs du 18 décembre 2012 ; RSV 211.255.2] ). Les frais mis à la charge de l’intimé s’élèvent ainsi à 3'729 fr. 80, soit 950 fr. d’émolument judiciaire (art. 65 al. 2 TFJC [tarif des frais judiciaires civils du 28 septembre 2010 ; RSV 270.11.5] ), y compris les frais relatifs à la requête d’effet suspensif par 350 fr. , et 2’779 fr. 80, débours par 9 fr. compris, d’indemnité due à la curatrice. Des dépens à hauteur de 2'500 fr. seront en outre alloués à l'appelante, auxquels s’ajoute la restitution de l’avance de frais de 950 fr. fournie par cette dernière (art. 111 al. 2 CPC), de sorte que l’intimé lui versera la somme de totale de 3'450 fr. à titre de dépens et de restitution d’avance de frais de deuxième instance. Par ces motifs, le juge délégué de la Cour d’appel civile prononce : I. L’appel est admis. II. L’ordonnance rendue le 4 décembre 2017 par la Présidente du Tribunal civil de l’arrondissement de l’Est vaudois est réformée comme il suit : I. rejette la requête de mesures provisionnelles introduite par A.T.________ à l’encontre de B.T.________ le 13 avril 2017 ; II. et III. supprimés L’ordonnance est confirmée pour le surplus. III. Les frais judiciaires de deuxième instance, arrêtés à 3'729 fr. 80 (trois mille sept cent vingt-neuf francs et huitante centimes), y compris l’indemnité allouée à Me Lise-Marie Gonzalez Pennec, curatrice de représentation des enfants C.T.________ et D.T.________, par 2'779 fr. 80 (deux mille sept cent septante-neuf francs et huitante centimes), sont mis à la charge de l’intimé A.T.________. IV. L’intimé A.T.________ doit verser à l’appelante B.T.________ la somme de 3’450 fr. (trois mille quatre cent cinquante francs) à titre de dépens et de restitution d’avance de frais de deuxième instance. V. L’arrêt est exécutoire. Le juge délégué : La greffière : Du Le présent arrêt, dont la rédaction a été approuvée à huis clos, est notifié en expédition complète à : ‑ Me Robert Lei Ravello (pour B.T.________), ‑ Me Christian Bettex (pour A.T.________), - Me Lise-Marie Gonzalez Pennec (curatrice des enfants C.T.________ et D.T.________)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