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2018 / 213 vom 15. März 2018</w:t>
      </w:r>
    </w:p>
    <w:p>
      <w:r>
        <w:t>VD Tribunal cantonal, 2018-03-15, FR</w:t>
      </w:r>
    </w:p>
    <w:p>
      <w:r>
        <w:rPr>
          <w:b/>
        </w:rPr>
        <w:t xml:space="preserve">Quelle: </w:t>
      </w:r>
      <w:r>
        <w:t>https://mcp.opencaselaw.ch/entscheid/vd_findinfo_HC___2018___213</w:t>
      </w:r>
    </w:p>
    <w:p>
      <w:r>
        <w:t>FR: VD_FINDINFO HC / 2018 / 213 du 15 mars 2018</w:t>
      </w:r>
    </w:p>
    <w:p>
      <w:r>
        <w:t>IT: VD_FINDINFO HC / 2018 / 213 del 15 marzo 2018</w:t>
      </w:r>
    </w:p>
    <w:p>
      <w:pPr>
        <w:pStyle w:val="Heading2"/>
      </w:pPr>
      <w:r>
        <w:t>Regeste</w:t>
      </w:r>
    </w:p>
    <w:p>
      <w:r>
        <w:t>AVIS DES DÉFAUTS, CONTRAT D'ENTREPRISE | 370 al. 2 CO, 370 al. 3 CO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l’appel doit être rejeté et le jugement entrepris confirmé. Les frais judiciaires de deuxième instance, arrêtés à 2'889 fr. (art. 62 al. 1 TFJC [tarif des frais judiciaires civils du 28 septembre 2010 ; RSV 270.11.5]), doivent être mis à la charge de l’appelant, qui succombe (art. 106 al. 1 CPC). L’appelant versera à l’intimé la somme de 1’800 fr. à titre de dépens de deuxième instance (art. 106 CPC, art. 3 al. 2 et 7 al. 1 TDC [tarif des dépens en matière civile du 23 novembre 2010 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