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174 vom 8. März 2018</w:t>
      </w:r>
    </w:p>
    <w:p>
      <w:r>
        <w:t>VD Tribunal cantonal, 2018-03-08, FR</w:t>
      </w:r>
    </w:p>
    <w:p>
      <w:r>
        <w:rPr>
          <w:b/>
        </w:rPr>
        <w:t xml:space="preserve">Quelle: </w:t>
      </w:r>
      <w:r>
        <w:t>https://mcp.opencaselaw.ch/entscheid/vd_findinfo_HC___2018___174</w:t>
      </w:r>
    </w:p>
    <w:p>
      <w:r>
        <w:t>FR: VD_FINDINFO HC / 2018 / 174 du 8 mars 2018</w:t>
      </w:r>
    </w:p>
    <w:p>
      <w:r>
        <w:t>IT: VD_FINDINFO HC / 2018 / 174 del 8 marzo 2018</w:t>
      </w:r>
    </w:p>
    <w:p>
      <w:pPr>
        <w:pStyle w:val="Heading2"/>
      </w:pPr>
      <w:r>
        <w:t>Regeste</w:t>
      </w:r>
    </w:p>
    <w:p>
      <w:r>
        <w:t>OBLIGATION D'ENTRETIEN, CONCUBINAGE, TRAIN DE VIE, ENFANT | 176 al. 1 ch. 1 CC, 179 al. 1 CC, 285 CC, 286 al. 2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formés en temps utile par des parties qui y ont un intérêt digne de protection (art. 59 al. 2 let. a CPC) et portant sur des conclusions patrimoniales qui, capitalisées (art. 92 CPC), sont supérieures à 10'000 fr., les appels, écrits et motivés (art. 311 al. 1 CPC),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Aux termes de l'art. 271 let. a CPC, applicable par renvoi de l’art. 276 al. 1 CPC, les mesures provisionnelles sont ordonnées à la suite d'une procédure sommaire. Le juge statue sur la base de la simple vraisemblance après une administration limitée des preuves ( ATF 127 III 474 consid. 2b/bb ; TF 5A_661/2011 du 10 février 2012 consid. 2.3 ),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 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2.2.2</w:t>
      </w:r>
    </w:p>
    <w:p>
      <w:r>
        <w:t>En l'espèce, sont litigieuses en appel, d'une part, la question des contributions dues pour l'entretien des enfants, laquelle est soumise aux maximes inquisitoire illimitée et d'office, et, d'autre part, celle de la contribution due pour l'entretien de l'appelante, qui est soumise au principe de disposition et à la maxime des débats.</w:t>
      </w:r>
    </w:p>
    <w:p>
      <w:r>
        <w:rPr>
          <w:b/>
        </w:rPr>
        <w:t>E. 2.2.3</w:t>
      </w:r>
    </w:p>
    <w:p>
      <w:r>
        <w:t>L’appelant A.V.________ conteste la recevabilité des conclusions prises par B.V.________ tendant à l’augmentation des contributions d’entretien dont il doit s’acquitter en faveur de ses enfants et de son épouse. Dans le cadre de la procédure de première instance, B.V.________ s’était en effet contentée de conclure au rejet des conclusions prises par A.V.________ tendant à la réduction desdites contributions d’entretien. Or, dans son appel du 30 novembre 2017, elle conclut au versement de pensions plus élevées que celles qui avaient court avant l’ouverture de la requête d’A.V.________. Contrairement à ce que soutient l’appelant, les conclusions prises par B.V.________ relatives aux pensions des enfants sont recevables en appel compte tenu de l’application de la maxime d’office, le juge ordonnant les mesures nécessaires à l’égard de ceux-ci sans être lié par les conclusions des parties et même en l'absence de conclusions. Cette question peut néanmoins rester ouverte compte tenu des considérants exposés ci-après.</w:t>
      </w:r>
    </w:p>
    <w:p>
      <w:r>
        <w:rPr>
          <w:b/>
        </w:rPr>
        <w:t>E. 2.3.1</w:t>
      </w:r>
    </w:p>
    <w:p>
      <w:r>
        <w:t>L’appelante B.V.________ fait quant à elle valoir que son droit d’être entendu aurait été violé par le premier juge lorsque celui-ci a refusé de donner suite à sa requête tendant à la production, en mains d’A.V.________, de sa dernière déclaration d’impôts, de son dernier avis de taxation, ainsi que du détail des mouvements de tous les comptes dont il est titulaire pour la période du 1 er juin 2016 au 31 mai 2017. Elle requiert que cette violation soit réparée par le Juge délégué de céans.</w:t>
      </w:r>
    </w:p>
    <w:p>
      <w:r>
        <w:rPr>
          <w:b/>
        </w:rPr>
        <w:t>E. 2.3.2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 TF 5A_906/2012 du 18 avril 2013 consid. 5.1.2 ; TF 5A_695/2012 du 20 mars 2013 consid. 4.1.1).</w:t>
      </w:r>
    </w:p>
    <w:p>
      <w:r>
        <w:rPr>
          <w:b/>
        </w:rPr>
        <w:t>E. 2.3.3</w:t>
      </w:r>
    </w:p>
    <w:p>
      <w:r>
        <w:t>En l’espèce, le dossier contient suffisamment d’éléments pour établir la situation financière d’A.V.________, et plus particulièrement sa capacité contributive. Les pièces dont la production est requise par B.V.________ n’apparaissent en outre pas déterminantes dans la mesure où, comme il le sera exposé ci-après, les revenus confortables de l’époux justifient l’application de la méthode des dépenses effectives. Or, le budget mensuel d’A.V.________ présente un solde amplement suffisant pour lui permettre de garantir le maintien du niveau de vie aussi bien des enfants que de l’épouse. Il n’y a pas conséquent pas lieu de donner suite à la réquisition de production de pièce formulée par l’appelante.</w:t>
      </w:r>
    </w:p>
    <w:p>
      <w:r>
        <w:rPr>
          <w:b/>
        </w:rPr>
        <w:t>E. 2.4.1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 RSPC 2011, p. 320, avec note approbatrice de Tappy) considère qu'en appel les novas sont soumis au régime ordinaire, même dans les causes soumises à la maxime inquisitoire (en ce sens Tappy, op. cit.,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5A_456/2016 du 28 octobre 2016 consid. 4.1).</w:t>
      </w:r>
    </w:p>
    <w:p>
      <w:r>
        <w:rPr>
          <w:b/>
        </w:rPr>
        <w:t>E. 2.4.2</w:t>
      </w:r>
    </w:p>
    <w:p>
      <w:r>
        <w:t>En l'occurrence, l'appelante B.V.________ a produit en appel les certificats d'assurance maladie 2018 pour toute la famille, pièces recevables à la lumière des conditions de l'art. 317 al. 1 CPC et des principes rappelés ci-dessus. L’appelante a également produit deux courriers, accompagnés chacun d’une pièce, après l’audience d’appel, afin d’informer la Juge déléguée de céans du fait que son compagnon avait déménagé dans une autre commune et qu’ils avaient ainsi mis un terme à leur vie commune. S’il s’agit effectivement d’un fait nouveau et de preuves nouvelles pouvant encore être invoqués, respectivement produits en appel aux conditions de l’art. 317 al. 1 CPC, ils ne peuvent cependant l’être que jusqu’au début de la phase des délibérations, à savoir immédiatement après la clôture des débats principaux, soit, en l’occurrence à la levée de l’audience (ATF 143 III 42). En l’occurrence, produits respectivement les 19 et 30 janvier 2017, ils sont dès lors irrecevables. Quoi qu’il en soit, l’appelante ne s’en prévaut d’aucune manière et n’a modifié ni les conclusions prises au pied de son appel, ni celles prises au pied de sa réponse du 14 décembre 2017, de sorte qu’ils n’auraient pas eu d’incidence sur le sort de la cause.</w:t>
      </w:r>
    </w:p>
    <w:p>
      <w:r>
        <w:rPr>
          <w:b/>
        </w:rPr>
        <w:t>E. 3</w:t>
      </w:r>
    </w:p>
    <w:p>
      <w:r>
        <w:t>La méthode</w:t>
      </w:r>
    </w:p>
    <w:p>
      <w:r>
        <w:rPr>
          <w:b/>
        </w:rPr>
        <w:t>E. 3.1</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3.2</w:t>
      </w:r>
    </w:p>
    <w:p>
      <w:r>
        <w:t>Il appartient au créancier de préciser les dépenses nécessaires à son train de vie et de rendre celles-ci vraisemblables (ATF 115 II 424 consid. 2 ; TF 5A 328/2014 du 18 août 2014 consid. 3 ; TF 5A 743/2012 du 6 mars 2013 consid. 6.1.2), le juge statuant sur la base des preuves immédiatement disponibles (TF 5A_165/2016 du 11 octobre 2016 consid. 4.1).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cas d'application de la méthode selon les dépenses effectives, il n'est pas exclu de tenir compte de certains forfaits car, pour des postes de dépenses comme les besoins quotidiens, il est presque impossible d'établir après coup les chiffres. Est ainsi admissible la prise en compte d'un multiple du montant de base du droit des poursuites, la preuve d'un besoin supérieur ou inférieur dans le cas concret étant réservée (TF 5A_1020/2015 du 15 novembre 2016 consid. 5.1).</w:t>
      </w:r>
    </w:p>
    <w:p>
      <w:r>
        <w:rPr>
          <w:b/>
        </w:rPr>
        <w:t>E. 3.3</w:t>
      </w:r>
    </w:p>
    <w:p>
      <w:r>
        <w:t>; TF 5P.67/1992 du 12 mai 1992 consid. 2a). Il appartient par conséquent au juge d'apprécier quelles dépenses correspondent à des besoins raisonnables. La maxime inquisitoire ne dispense toutefois pas le crédirentier de son devoir de collaborer et donc de préciser les dépenses nécessaires à son train de vie et de rendre celles-ci vraisemblables (TF 5A_385/2012 du 20 septembre 2012 consid. 6.5 ; TF 5A_661/2011 du 16 février 2012 consid. 4.2). Dans le cadre d’un calcul selon la méthode du minimum vital élargi, seuls les frais de logement effectifs ou raisonnables doivent être pris en considération, les charges de logement d'un conjoint pouvant ainsi ne pas être intégralement retenues lorsqu'elles apparaissent excessivement élevées au regard de ses besoins et de sa situation économique concrète (TF 5A_767/2016 du 30 janvier 2017 consid. 3.1.1 ; TF 5A_1029/2015 du 1 juin 2016 consid. 4.3.1 ; TF 5A_365/2014 du 25 juillet 2014 consid. 3.1). Si le coût effectif du logement est déraisonnable, un délai est laissé à l'intimé pour adapter ses frais de logement au montant pris en compte pour le calcul de son minimum vital (ATF 129 III 526 consid. 2 [en matière de saisie de salaire] ; TF 5A_671/2013 du 29 juillet 2014 consid. 6.3.2 [concernant la contribution d'entretien après divorce]) ; ce délai équivaut en principe au prochain terme de résiliation du bail (ATF 129 III 526 consid. 2 p. 527 et les références citées ; TF 5A_1029/2015 du 1- juin 2016 consid. 4.3.1). Toutefois,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(Juge délégué CACI 23 mai 2017/207).</w:t>
      </w:r>
    </w:p>
    <w:p>
      <w:r>
        <w:rPr>
          <w:b/>
        </w:rPr>
        <w:t>E. 4</w:t>
      </w:r>
    </w:p>
    <w:p>
      <w:r>
        <w:t>Le budget d’A.V.________</w:t>
      </w:r>
    </w:p>
    <w:p>
      <w:r>
        <w:rPr>
          <w:b/>
        </w:rPr>
        <w:t>E. 4.1.1</w:t>
      </w:r>
    </w:p>
    <w:p>
      <w:r>
        <w:t>L’appelante requiert qu’un loyer hypothétique de 1'500 fr. soit imputé à A.V.________ dès lors que le montant de 2'100 fr. dont il s’acquitte serait largement supérieur au prix du marché pour un appartement de 3,5 pièces.</w:t>
      </w:r>
    </w:p>
    <w:p>
      <w:r>
        <w:rPr>
          <w:b/>
        </w:rPr>
        <w:t>E. 4.1.2</w:t>
      </w:r>
    </w:p>
    <w:p>
      <w:r>
        <w:t>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w:t>
      </w:r>
    </w:p>
    <w:p>
      <w:r>
        <w:rPr>
          <w:b/>
        </w:rPr>
        <w:t>E. 4.1.3</w:t>
      </w:r>
    </w:p>
    <w:p>
      <w:r>
        <w:t>En l'espèce, l'appelant A.V.________ a pris à bail un appartement en PPE dont le loyer s'élève à 2'100 francs. La pièce relative au bail litigieux ne mentionne pas qu’il s’agirait d’un 3,5 pièces mais cela est admis par l'appelante. Or, le fait pour A.V.________ de disposer d’un appartement de 3,5 pièces doit être considéré comme indispensable pour lui permettre d’accueillir ses deux enfants durant les week-ends où il exerce son droit de visite. En outre, l'allégation selon laquelle ce montant ne correspondrait pas au prix du marché n'est étayée par aucune pièce. De surcroît, en vertu des principes exposés ci-dessus, on ne saurait imputer à A.V.________ un loyer hypothétique sans tenir compte du délai de résiliation de son bail. Enfin, même s'il fallait considérer qu’A.V.________ serait en mesure de réduire ses frais de logement, cela n’aurait aucune conséquence sur l'issue du litige puisque le budget mensuel de l’appelant présente un solde suffisant pour lui permettre d’assumer non seulement l’entretien convenable de ses enfants, contribution de prise en charge comprise, mais également le maintien du train de vie de son conjoint (cf. infra consid. 8.2). Le moyen est mal fondé.</w:t>
      </w:r>
    </w:p>
    <w:p>
      <w:r>
        <w:rPr>
          <w:b/>
        </w:rPr>
        <w:t>E. 4.2</w:t>
      </w:r>
    </w:p>
    <w:p>
      <w:r>
        <w:t>Le premier juge a retenu, et ce n’est pas contesté par les parties, que les intérêts hypothécaires de l’immeuble de Vétroz, à savoir le domicile conjugal, étaient entièrement assumés par l’appelant. La jouissance dudit immeuble étant cependant attribuée à l’appelante, l’ensemble des frais qui le concernent, y compris les intérêts hypothécaires, doivent, dans un premier temps, être intégrés au budget mensuel de l’appelante, respectivement des enfants pour la part les concernant. Afin de tenir compte du fait que ces frais sont en réalité versés directement par l’appelant à la banque, respectivement à l’Etat, ils seront déduits, dans un deuxième temps, des contributions d’entretien mises à sa charge.</w:t>
      </w:r>
    </w:p>
    <w:p>
      <w:r>
        <w:rPr>
          <w:b/>
        </w:rPr>
        <w:t>E. 4.3</w:t>
      </w:r>
    </w:p>
    <w:p>
      <w:r>
        <w:t>Compte tenu de ce qui a été exposé et des montants retenus par le premier juge qui n’ont pas été discutés ci-dessus, les charges de l’appelant se présentent comme suit : - base mensuelle selon les normes OPF fr.              1'200.00 - supplément droit de visite fr.               150.00 - frais de logement              fr. 2'100.00 - assurance-maladie              fr. 290.25 - assurance-maladie complémentaire fr.               15.80 - leasing              fr. 452.85 - assurance véhicule fr.              112.85 - femme de ménage fr.              200.00 - impôts sur le revenu et la fortune              fr. 3'297.90 Total              fr. 7'819.65</w:t>
      </w:r>
    </w:p>
    <w:p>
      <w:r>
        <w:rPr>
          <w:b/>
        </w:rPr>
        <w:t>E. 5</w:t>
      </w:r>
    </w:p>
    <w:p>
      <w:r>
        <w:t>Le budget de [...]</w:t>
      </w:r>
    </w:p>
    <w:p>
      <w:r>
        <w:rPr>
          <w:b/>
        </w:rPr>
        <w:t>E. 5.1.1</w:t>
      </w:r>
    </w:p>
    <w:p>
      <w:r>
        <w:t>L’appelant A.V.________ soutient que B.V.________ réalise en réalité des revenus locatifs plus élevés que ceux qu’elle a allégués et qui ont été retenus par le premier juge. Il relève qu’elle n’a pas apporté la preuve du montant auquel son appartement était loué et considère que les acomptes qu’elle perçoit de la gérance par 1'102 fr. 75 par mois ne prouvent pas que le loyer serait de 1'200 fr. et les frais de gérance de 92 fr. 75, ce d’autant plus que B.V.________ avait elle-même allégué, dans son écriture du 12 juin 2017, percevoir à ce titre des revenus de 1'408 fr. 85 par mois, montant correspondant par ailleurs au montant annuel de 16'906 fr. figurant sur son avis de taxation fiscale. Il estime ainsi que le loyer perçu par B.V.________ est en réalité 200 fr. plus élevé que le montant retenu par le premier juge.</w:t>
      </w:r>
    </w:p>
    <w:p>
      <w:r>
        <w:rPr>
          <w:b/>
        </w:rPr>
        <w:t>E. 5.1.2</w:t>
      </w:r>
    </w:p>
    <w:p>
      <w:r>
        <w:t>En l’espèce, les explications fournies par B.V.________ sont convaincantes et compatibles avec les pièces figurant au dossier. En effet, il ressort des relevés de son compte privé que la gérance en charge de la gestion de son appartement lui verse tous les mois un montant de 1'102 fr. 75 et le fait qu’il ne s’agirait, comme le soutient l’appelant sans pour autant l’expliquer, que d’un acompte et non du montant qui lui serait effectivement dû paraît improbable et n’est étayé par aucun autre élément. En revanche, B.V.________ a pour sa part rendu suffisamment vraisemblable que cette somme correspond à un loyer de 1'200 fr. dont sont déduits des frais de gérance par 92 fr. 25. Dès lors que ce sont les revenus nets qui sont déterminant pour le calcul de la capacité contributive de chacune des parties, c’est bien un montant de 877 fr. 20 (1'102 fr. 75 - 17 fr. - 208  fr. 55) qui doit être retenu à ce titre pour déterminer la capacité contributive de B.V.________. Le moyen est mal fondé.</w:t>
      </w:r>
    </w:p>
    <w:p>
      <w:r>
        <w:rPr>
          <w:b/>
        </w:rPr>
        <w:t>E. 5.2.1</w:t>
      </w:r>
    </w:p>
    <w:p>
      <w:r>
        <w:t>B.V.________ conteste quant à elle qu’il soit retenu qu'elle bénéficie, économiquement, de son concubinage avec J.________ vu l'absence de revenu de ce dernier. Au contraire, l'appelant A.V.________ invoque que, s'il est admissible de prévoir que le concubin participe aux frais de logement à raison d'un tiers, il n'y a pas de raison pour qu'il ne participe qu’aux charges accessoires (taxes communales, ECA, gaz, Billag, etc) et non au règlement des intérêts hypothécaires, qui sont en réalité uniquement assumés par l’appelant. Les intérêts hypothécaires représentent 1'312 fr. 20 et le tiers de cette charge, soit 437 fr. 40 devrait donc, selon l’appelant, être imputé à J.________ et donc, aux revenus de B.V.________.</w:t>
      </w:r>
    </w:p>
    <w:p>
      <w:r>
        <w:rPr>
          <w:b/>
        </w:rPr>
        <w:t>E. 5.2.2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JdT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consid. 2.3.2, JdT 2012 II 479) ou lorsque les économies de coût ne sont pas effectivement réalisées (TF 5A_724/2016 du 19 avril 2017 consid. 4.3).</w:t>
      </w:r>
    </w:p>
    <w:p>
      <w:r>
        <w:rPr>
          <w:b/>
        </w:rPr>
        <w:t>E. 5.2.3</w:t>
      </w:r>
    </w:p>
    <w:p>
      <w:r>
        <w:t>En l'espèce, les intérêts hypothécaires de l’immeuble dans lequel B.V.________ vit avec J.________ font effectivement partie des charges courantes du logement auquel le concubin peut être tenu de participer. En l’occurrence, il apparaît toutefois que les revenus d’J.________ ne suffisent pas, une fois le montant de base du minimum vital pris en compte, à couvrir ses charges essentielles. Force est ainsi de constater que sa situation financière ne lui permet concrètement pas d’assumer une quelconque participation, que ce soit aux frais de logement ou aux autres frais du ménage de B.V.________. Les relevés bancaires de l’appelante ne révèlent d’ailleurs pas d’indice contraire et le fait que l’appelante ait dû lui prêter la somme de 20'000 fr. tend effectivement à démontrer qu’J.________ peine à faire face à ses charges. Les principes exposés ci-dessus excluent dès lors non seulement que l’on puisse imputer au concubin une quelconque participation aux frais de logement ou aux charges courantes du ménage, mais également que l’on tienne compte du concubinage de l’appelante dans le montant de base de son minimum vital. Celui-ci s’élève par conséquent à 1'350 francs. Le moyen d’A.V.________ est dès lors mal fondé sur ce point. Celui de B.V.________ est fondé.</w:t>
      </w:r>
    </w:p>
    <w:p>
      <w:r>
        <w:rPr>
          <w:b/>
        </w:rPr>
        <w:t>E. 5.3</w:t>
      </w:r>
    </w:p>
    <w:p>
      <w:r>
        <w:t>L’appelante B.V.________ a produit en appel des pièces attestant du montant des primes d’assurance maladie 2018 pour elle-même et les enfants. Bien qu’elles soient effectivement recevables en appel (cf. consid. 2.4.2 supra ), force est toutefois de constater que l’appelante n’a soulevé aucun moyen en lien avec ces pièces et n’a pas modifié les conclusions prises au pied de ses écritures. En outre, la différence par rapport aux primes 2017 n’est pas substantielle et n’aurait pas une incidence suffisante sur le montant des contributions d’entretiens qui lui sont octroyées à elle-même et aux enfants pour justifier de les modifier à compter du 1 er janvier 2018. Il ne sera dès lors pas tenu compte de ces nouvelles productions.</w:t>
      </w:r>
    </w:p>
    <w:p>
      <w:r>
        <w:rPr>
          <w:b/>
        </w:rPr>
        <w:t>E. 5.4</w:t>
      </w:r>
    </w:p>
    <w:p>
      <w:r>
        <w:t>A.V.________ plaide ensuite qu’il n’y aurait pas lieu d’admettre, dans les charges de son épouse, le remboursement de 326 fr. par mois effectué par cette dernière relatif à la dette liée à sa carte de crédit, puisqu’il s’agirait d’une dette propre et qu’elle disposerait d’avoirs bancaires suffisants pour y faire face. En l’espèce, les contributions d’entretien mises à la charge de l’appelant sont calculées, au vu de la situation financière confortable de la famille, sur la base de leurs dépenses effectives. Or, comme déjà exposé ci-dessus, cette méthode suppose de tenir compte des charges effectives des parties, à moins qu’elles ne soient incompatibles avec la notion de train de vie et ne puissent être imposées au débirentier (cf. supra consid. 3.2, 3.3 et 4.1.2). En l’occurrence, l’appelante a démontré qu’elle s’acquittait effectivement des remboursements de dette de carte de crédit, lesquels étaient nécessaires. Puisqu’ils n’apparaissent pas déraisonnables au regard de l’ensemble des circonstances, ces frais doivent effectivement être comptabilisés dans les charges de B.V.________. Le moyen est mal fondé sur ce point.</w:t>
      </w:r>
    </w:p>
    <w:p>
      <w:r>
        <w:rPr>
          <w:b/>
        </w:rPr>
        <w:t>E. 5.5</w:t>
      </w:r>
    </w:p>
    <w:p>
      <w:r>
        <w:t>Pour l’appelant, A.V.________, les besoins mensuels de C.________, fille aînée de B.V.________, se chiffrent à 838 fr. 15, montant retenu par le premier juge, sur la base des déclarations de B.V.________. Or, il invoque que cette dernière perçoit en réalité un montant de 950 fr. tous les mois par le père de C.________, pour l’entretien de cette dernière, de sorte qu’elle ne subit aucun déficit pour la prise en charge de sa fille. En l’espèce, B.V.________ admet recevoir un montant de 950 fr. pour l’entretien de sa fille C.________. Aucun élément au dossier ne permet de considérer, comme elle le prétend, que seuls 800 fr. lui seraient versés à titre de contribution d’entretien à proprement parler, alors que le solde de 150 fr. serait en réalité de l’argent de poche pour C.________. Au contraire, le jugement rendu par le Tribunal cantonal du Valais le 10 juillet 2013 faisait déjà état d’une contribution d’entretien versée par le père de C.________ d’un montant de 800 fr. alors que cette dernière était âgée de 13 ans. Il apparaît vraisemblable que depuis lors, la pension de C.________, désormais âgée de 16 ans, ait subi une augmentation, comme c’est le cas usuellement, notamment par l’application de paliers. En outre, il apparaît peu cohérent que le père de C.________ s’acquitte d’un montant de 150 fr. à titre d’argent de poche, alors que les coûts directs de l’enfant ne seraient pas couverts, ce d’autant plus dans le présent contexte, où le partent gardien n’exerce aucune activité lucrative. Enfin, le fait que B.V.________ verse chaque mois la somme de 150 fr. sur le compte de C.________ ne signifie pas nécessairement qu’il s’agisse d’argent de poche à proprement parler et non d’un montant mis à sa disposition pour qu’elle subvienne elle-même à ses frais de repas à l’extérieur, d’habillement, etc. qui sont compris dans son entretien. En définitive, il y a dès lors lieu de considérer que les 950 fr. versés mensuellement par le père de C.________ couvrent les coûts directs de celle-ci. Le moyen est fondé.</w:t>
      </w:r>
    </w:p>
    <w:p>
      <w:r>
        <w:rPr>
          <w:b/>
        </w:rPr>
        <w:t>E. 5.6</w:t>
      </w:r>
    </w:p>
    <w:p>
      <w:r>
        <w:t>Compte tenu de ce qui a été exposé, des montants retenus par le premier juge qui n'ont pas été discutés ci-dessus et du consid. 7.4 infra , les charges de l'appelante B.V.________ doivent être définies comme suit : - base mensuelle selon normes OPF fr.               1’350.00 - frais de logement accessoires fr.               509.65 - impôt foncier (immeuble de Vétroz) fr.              92.00 - intérêts hypothécaires (immeuble de Vétroz) fr.               1'312.20 - ./. déduction de la part des enfants (287 fr. 10 x 2) fr.              - 574.20 - assurance maladie (base) fr.               323.85 - assurance maladie (complémentaire) fr.               38.60 - assurance véhicule fr.               140.70 - taxe véhicule fr.               18.60 - cotisation TCS fr.               7.35 - assurance ménage et RC privée              fr. 50.00 - téléphone portable              fr. 151.25 - impôts fr.              576.85 - remboursement carte de crédit              fr. 326.00 - frais de recherche d’emploi fr.               150.- Total              fr. 4'472.85 avec majoration de 25% fr.              5'591.05 Les charges mensuelles essentielles s’élèvent quant à elles à un montant de 3’163 fr. 50 (1’350 fr. + 509 fr. 65 + 92 fr. + 1'312 fr. 20 - 574 fr. 20 + 323 fr. 85 + 150 fr.).</w:t>
      </w:r>
    </w:p>
    <w:p>
      <w:r>
        <w:rPr>
          <w:b/>
        </w:rPr>
        <w:t>E. 6</w:t>
      </w:r>
    </w:p>
    <w:p>
      <w:r>
        <w:t>.4.3 En l’espèce, le raisonnement de l’appelant à cet égard est correct. Seul le déficit, soit la différence entre les revenus et les charges supérieures, de l’appelante doit être pris en considération à titre de contribution de prise en charge dans les budgets respectifs des enfants et non l’entier des charges essentielles. Ainsi, c’est un montant de 2’286 fr. 30 (877 fr. 20 – 3'163 fr. 50), correspondant au minimum vital strict de B.V.________ qu’il y a lieu d’intégrer à raison d’une demie chacun à titre de contribution de prise en charge dans les budgets respectifs d’C.V.________ et de D.V.________. Le moyen est fondé.</w:t>
      </w:r>
    </w:p>
    <w:p>
      <w:r>
        <w:rPr>
          <w:b/>
        </w:rPr>
        <w:t>E. 6.1</w:t>
      </w:r>
    </w:p>
    <w:p>
      <w:r>
        <w:t>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un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w:t>
      </w:r>
    </w:p>
    <w:p>
      <w:r>
        <w:rPr>
          <w:b/>
        </w:rPr>
        <w:t>E. 6.1.1</w:t>
      </w:r>
    </w:p>
    <w:p>
      <w:r>
        <w:t>L’appelante B.V.________ considère que le premier juge aurait dû tenir compte, pour établir l’entretien convenable des enfants, des montants figurant dans les tabelles zurichoises, à tout le moins s’agissant de certains postes.</w:t>
      </w:r>
    </w:p>
    <w:p>
      <w:r>
        <w:rPr>
          <w:b/>
        </w:rPr>
        <w:t>E. 6.1.2</w:t>
      </w:r>
    </w:p>
    <w:p>
      <w:r>
        <w:t>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w:t>
      </w:r>
    </w:p>
    <w:p>
      <w:r>
        <w:rPr>
          <w:b/>
        </w:rPr>
        <w:t>E. 6.1.3</w:t>
      </w:r>
    </w:p>
    <w:p>
      <w:r>
        <w:t>En l’espèce, les budgets des enfants ont pu être établis sur la base des coûts effectifs les concernant s’agissant notamment de leur participation aux frais de logement du parent gardien, de leur prime d’assurance maladie, de leurs frais médicaux, de leurs loisirs, etc. Les autres frais courants, non allégués, tels que les frais de nourriture, d’habillement, d’entretien, de soins corporels, l’entretien du logement, l’électricité, etc. ont en outre été pris en compte par l’intégration du montant de base forfaitaire de droit des poursuites. Ainsi, la méthode appliquée par le premier juge permet d’aboutir à un montant reflétant relativement précisément les coûts effectifs que représentent ces enfants, alors que l’application des tabelles zurichoises nécessiterait des ajustements et aboutirait à un résultat abstrait ne tenant pas compte des spécificités du cas d’espèce. La méthode des coûts effectifs appliquée en première instance n’est dès lors pas critiquable. En revanche, comme déjà mentionné ci-dessus, compte tenu de l’aisance financière de la famille et du fait que les montants ainsi obtenus sont particulièrement modestes dans ce contexte, il se justifie, comme le préconise le Tribunal fédéral, de les majorer de 25%.</w:t>
      </w:r>
    </w:p>
    <w:p>
      <w:r>
        <w:rPr>
          <w:b/>
        </w:rPr>
        <w:t>E. 6.2</w:t>
      </w:r>
    </w:p>
    <w:p>
      <w:r>
        <w:t>L'appelant A.V.________ estime quant à lui qu'il n'y a pas de raison de tenir compte, dans les budgets des enfants, des frais de garde tels que retenus par le premier juge à hauteur de 500 fr. par mois. Il soutient en effet que ces frais n’ont pas été établis et que B.V.________, qui s’en prévalait en première instance, n’avait pas démontré à quelle fréquence et à qui elle confiait ses enfants. Il a en outre relevé qu’elle ne travaillait pas et vivait avec sa fille aînée de 16 ans et un compagnon qui ne travaillait pas non plus, de sorte qu’il contestait le principe même de ces frais. B.V.________ a pour sa part admis en audience ne pas avoir de frais de garde pour les enfants. Le moyen, en tant qu'il a été admis par la partie adverse, est dès lors bien fondé.</w:t>
      </w:r>
    </w:p>
    <w:p>
      <w:r>
        <w:rPr>
          <w:b/>
        </w:rPr>
        <w:t>E. 6.3</w:t>
      </w:r>
    </w:p>
    <w:p>
      <w:r>
        <w:t>Dans un autre moyen, l'appelant soulève qu'il n'est pas non plus rendu vraisemblable que les enfants seraient suivis par un psychologue. Il admet qu’il y a eu un suivi ponctuel qui a coûté 600 fr. sur dix mois, mais conteste en revanche qu’il ait encore lieu. L'appelante n'établit pas clairement devoir assumer des frais à concurrence de 100 fr. par mois et par enfant. Cependant, il ressort du dossier qu’C.V.________ est suivi par une psychologue, dont les prestations ne sont pas remboursées par l’assurance. En outre, les problèmes rencontrés par les enfants, qui ne sont du reste pas contestés par A.V.________, ont donné lieu à la mise en œuvre d'une expertise pédopsychiatrique dans le cadre de la procédure de divorce. Les frais médicaux allégués sont donc rendus suffisamment vraisemblables mais doivent être comptabilisés entièrement chez C.V.________.</w:t>
      </w:r>
    </w:p>
    <w:p>
      <w:r>
        <w:rPr>
          <w:b/>
        </w:rPr>
        <w:t>E. 6.4.1</w:t>
      </w:r>
    </w:p>
    <w:p>
      <w:r>
        <w:t>L'appelant A.V.________ conteste la manière dont le premier juge a calculé la prise en charge des enfants et soutient que son minimum vital strict ayant servi à déterminer le montant des contributions de prise en charge des enfants aurait dû tenir compte non seulement de ses charges essentielles, mais également de ses revenus.</w:t>
      </w:r>
    </w:p>
    <w:p>
      <w:r>
        <w:rPr>
          <w:b/>
        </w:rPr>
        <w:t>E. 6.4.2</w:t>
      </w:r>
    </w:p>
    <w:p>
      <w:r>
        <w:t>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Il y a ainsi lieu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Le nouveau droit de l'entretien de l'enfant en pratique, in RMA 6/2016, pp. 443 ss ; Hausheer/Spycher, Handbuch des Unterhaltsrechts, pp. 163 ss ; Bähler, Unterhaltsberechnungen – von der Methode zu den Franken, in FamPra.ch 1/2015, pp. 322 ss). L’addition des coûts directs de l’enfant – éventuellement pondérés en fonction de la prise en charge effective de chaque parent – et de la contribution de prise en charge constituera le montant dû au titre de contribution d’entretien pour l’enfant (CACI 1 er mars 2017/97 consid. 9.3 ; CACI 24 mars 2017/126 consid. 3.2.3).</w:t>
      </w:r>
    </w:p>
    <w:p>
      <w:r>
        <w:rPr>
          <w:b/>
        </w:rPr>
        <w:t>E. 6.5</w:t>
      </w:r>
    </w:p>
    <w:p>
      <w:r>
        <w:t>La part des enfants aux coûts du logement du parent gardien doit être comptabilisée dans les besoins de ces derniers et déduite des coûts de substance du parent gardien (TF 5A_464/2012 du 30 novembre 2012 consid. 4.6.3 ; 5P.370/2004 du 5 janvier 2005 consid. 4; 5C.277/2001 du 19 décembre 2002 consid. 3.2). Dans un arrêt récent, le Tribunal fédéral a estimé que la prise en compte d’une participation au loyer à hauteur de 30 % pour deux enfants, soit 15 % par enfant, était justifiée (TF 5A_874/2015 du 2 mars 2016 consid. 4.4). Dans une autre cause, le Tribunal fédéral a admis une participation aux frais de logement du parent gardien de 45 % pour trois enfants (TF 5A_271/2012 du 12 novembre 2012 consid. 3.2.2). En l’occurrence, il y a ainsi lieu d’intégrer au budget de chacun des enfants communs des parties, le montant correspondant aux 15% des frais de logement de B.V.________, à savoir la somme de 287 fr. 10 ([509 fr. 65 + 92 + 1'312 fr. 20] x 15%) par enfant.</w:t>
      </w:r>
    </w:p>
    <w:p>
      <w:r>
        <w:rPr>
          <w:b/>
        </w:rPr>
        <w:t>E. 6.6</w:t>
      </w:r>
    </w:p>
    <w:p>
      <w:r>
        <w:t>Compte tenu de ce qui a été exposé et des frais retenus par le premier juge qui n'ont pas été discutés ci-dessus, l’entretien convenable de l'enfant C.V.________, doit être arrêté comme suit : - base mensuelle selon normes OPF              fr. 600.00 - participation aux frais de logement fr.               287.10 - assurance maladie (base) fr.               97.85 - assurance maladie (complémentaire) fr.               12.00 - frais médicaux fr.               200.00 - frais de loisirs               fr. 150.00 - divers fr.               100.00 Total : fr. 1'446.95 avec majoration de 25% fr.              1'808.70 ./. déduction des allocations familiales fr.               - 275.00 Total des coûts directs fr. 1'533.70 Contribution de prise en charge (1/2 de 2'286 fr. 30) fr.               1'143.15 Total entretien convenable fr. 2'676.85</w:t>
      </w:r>
    </w:p>
    <w:p>
      <w:r>
        <w:rPr>
          <w:b/>
        </w:rPr>
        <w:t>E. 6.7</w:t>
      </w:r>
    </w:p>
    <w:p>
      <w:r>
        <w:t>Les coûts directs de l'enfant D.V.________, sous déduction des allocations familiales, constituant son entretien convenable, se présentent ainsi : - base mensuelle selon normes OPF              fr. 400.00 - participation aux frais de logement fr.               287.10 - assurance maladie (base) fr.               35.95 - assurance maladie (complémentaire) fr.               12.00 - frais de loisirs fr.               150.00 - divers              fr. 100.00 Total : fr.               985.05 avec majoration de 25% fr.              1'231.30 ./. déduction des allocations familiales fr.               - 275.00 Total des coûts directs fr. 956.30 Contribution de prise en charge (1/2 de 2'286 fr. 30) fr.               1'143.15 Total entretien convenable fr. 2'099.45</w:t>
      </w:r>
    </w:p>
    <w:p>
      <w:r>
        <w:rPr>
          <w:b/>
        </w:rPr>
        <w:t>E. 7</w:t>
      </w:r>
    </w:p>
    <w:p>
      <w:r>
        <w:t>Il résulte de ce qui précède, qu’A.V.________ réalise des revenus mensuels nets de 20'886 fr. 25 et assume des charges d’un montant total de 7'819 fr. 65, de sorte qu’il bénéficie d’un montant disponible de 13'066 fr. 60. L’entretien convenable d’C.V.________ s’élève à 2'676 fr. 85 et celui de D.V.________ à 2'099 fr. 45, après déduction des allocations familiales, contribution de prise en charge incluse. Quant au budget de B.V.________, compte tenu de ses revenus de 877 fr. 20 et ses charges majorées de 5'591 fr. 05, dont il y a lieu de déduire celles d’ores et déjà intégrées aux budgets des enfants à titre de contribution de prise en charge par 3'163 fr. 50, il présente un déficit de 1'550 fr. 35. Ce sont donc des contributions d’entretien de 2'676 fr. 85 pour C.V.________, de 2'099 fr. 45 pour D.V.________ et de 1'550 fr. 35 pour B.V.________ qui devraient être mises à la charge de l’appelant. Toutefois, comme déjà mentionné, l’appelant s’acquitte directement auprès de la banque des intérêts hypothécaires relatifs à l’immeuble conjugal dont il est unique propriétaire, ainsi que de l’impôt foncier concernant cet immeuble, raison pour laquelle il y a lieu de retrancher ces frais, d’un montant total de 1'404 fr. 20 (1'312 fr. 90 + 92 fr.), des sommes qui précèdent, à raison de 210 fr. 65 (1'404 fr. 20 x 15%) pour chacun des enfants et de 982 fr. 90 (1'404 fr. 20 x 70%) pour l’appelante. En définitive, A.V.________ contribuera donc à l’entretien des siens par le versement d’un montant arrondi à 2’470 fr. (2'676 fr. 85 - 210 fr. 65) pour C.V.________, de 1’890 fr. (2'099 fr. 45 - 210 fr. 65) pour D.V.________, allocations familiales  non comprises et dues en sus, et de 570 fr. (1'550 fr. 35 - 982 fr. 90) pour B.V.________. Il continuera, en outre, à s’acquitter directement des intérêts hypothécaires et de l’impôt foncier précités.</w:t>
      </w:r>
    </w:p>
    <w:p>
      <w:r>
        <w:rPr>
          <w:b/>
        </w:rPr>
        <w:t>E. 8.1</w:t>
      </w:r>
    </w:p>
    <w:p>
      <w:r>
        <w:t>L’appelant conteste enfin que la modification des contributions d’entretien intervienne a compter du 1 er novembre 2017 et soutient qu’elles auraient dû prendre effet dès le 1 er juillet 2017, soit au début du mois le plus proche du dépôt de la requête de mesures provisionnelles du 10 juillet 2017.</w:t>
      </w:r>
    </w:p>
    <w:p>
      <w:r>
        <w:rPr>
          <w:b/>
        </w:rPr>
        <w:t>E. 8.2</w:t>
      </w:r>
    </w:p>
    <w:p>
      <w:r>
        <w:t>Les contributions pécuniaires fixées par le juge en procédure de mesures protectrices de l'union conjugale peuvent être réclamées pour l'avenir et pour l'année qui précède l'introduction de la requête (ATF 129 III 60 consid. 3 ; ATF 115 II 201 consid. 2 ; TF 5A_458/2014 du 8 septembre 2014 consid. 4.1.2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RMA 2011 p. 300). N'est pas non plus arbitraire la fixation du dies a quo au premier jour du mois le plus proche de la séparation effective des parties (TF 5A_608/2011 du</w:t>
      </w:r>
    </w:p>
    <w:p>
      <w:r>
        <w:rPr>
          <w:b/>
        </w:rPr>
        <w:t>E. 8.3</w:t>
      </w:r>
    </w:p>
    <w:p>
      <w:r>
        <w:t>En l’espèce, la requête de mesures provisionnelles a été déposée le 10 juillet 2017. Aucun élément ne justifiant de s’écarter des principes exposés ci-dessus, il y a effectivement lieu de fixer le dies a quo des nouvelles contributions d’entretien au 1 er juillet 2017. Le moyen est fondé. 9. 9.1 En définitive, les appels respectifs d’A.V.________ et B.V.________ doivent être très partiellement admis. Par conséquent l’ordonnance entreprise doit être partiellement réformée en ses chiffres I à IV et confirmée pour le surplus. 9.2 Les frais judiciaires de deuxième instance, arrêtés à 1’400 fr. (art. 65 al. 2 TFJC [tarif des frais judiciaires civils du 28 septembre 2010 ; RSV 270.11.5]), y compris les frais relatifs à la requête d’effet suspensif (art. 60 TFJC par analogie), doivent, en équité et au vu des conclusions respectives, être répartis par moitié entre les parties (art. 107 al. 1 let. c CPC). L’appelant versera ainsi à l’appelante la somme de 100 fr. à titre de restitution de l’avance de frais fournie par cette dernière (art.111 al. 2 CPC). 9.3 Quant aux dépens, ils doivent être compensés. Par ces motifs, la juge déléguée de la Cour d’appel civile prononce : I. L’appel d’A.V.________ est très partiellement admis. II. L’appel de B.V.________ est très partiellement admis. III. L’ordonnance est réformée comme il suit aux chiffres I à IV de son dispositif : I. astreint A.V.________ à contribuer à l’entretien de son fils C.V.________, né le [...] 2007, par le versement d’une pension mensuelle, payable d’avance le premier de chaque mois à B.V.________, allocations familiales en plus, de 2'470 fr. (deux mille quatre cent septante-francs), dès le 1 er juillet 2017 ; II. astreint A.V.________ à contribuer à l’entretien de sa fille D.V.________, née le [...] 2010, par le versement d’une pension mensuelle, payable d’avance le premier de chaque mois à B.V.________, allocations familiales en plus, d’une pension mensuelle de 1’890 fr. (mille huit cent nonante francs), dès le 1 er juillet 2017 ; III. constate que les montants nécessaires pour assurer l’entretien convenable des enfants sont de 2'676 fr. 85 par mois pour C.V.________ et de 2'099 fr. 45 par mois pour D.V.________, après déduction des allocations familiales, étant précisé qu’il est entièrement couvert par les prestations fournies par les parents ; IV. astreint A.V.________ à contribuer à l’entretien de son épouse B.V.________ par le versement d’une pension mensuelle, payable d’avance le premier de chaque mois, de 570 fr. (cinq cent septante francs), dès le 1 er juillet 2017 ; IV. Les frais judiciaires de deuxième instance, arrêtés à 1’400 fr. (mille quatre cent francs), sont mis par 700 fr. (sept cents francs) à la charge de l’appelant A.V.________ et par 700 fr. (sept cents francs) à la charge de l’appelante B.V.________. V. L’appelant A.V.________ doit verser à l’appelante B.V.________ la somme de 100 fr. (cent francs) à titre de restitution d’avance de frais de deuxième instance. VI. Les dépens de deuxième instance sont compensés. VII. L’arrêt est exécutoire. La juge déléguée : La greffière : Du Le présent arrêt, dont la rédaction a été approuvée à huis clos, est notifié en expédition complète à : ‑ Me Joël Crettaz (pour A.V.________), ‑ Me Olivier Couchepin (pour B.V.________),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décembre 2011 consid. 6.2.7 ; TF 5A_508/2011 du 21 novembre 2011 consid.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