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17 vom 12. Januar 2018</w:t>
      </w:r>
    </w:p>
    <w:p>
      <w:r>
        <w:t>VD Tribunal cantonal, 2018-01-12, FR</w:t>
      </w:r>
    </w:p>
    <w:p>
      <w:r>
        <w:rPr>
          <w:b/>
        </w:rPr>
        <w:t xml:space="preserve">Quelle: </w:t>
      </w:r>
      <w:r>
        <w:t>https://mcp.opencaselaw.ch/entscheid/vd_findinfo_HC___2018___17</w:t>
      </w:r>
    </w:p>
    <w:p>
      <w:r>
        <w:t>FR: VD_FINDINFO HC / 2018 / 17 du 12 janvier 2018</w:t>
      </w:r>
    </w:p>
    <w:p>
      <w:r>
        <w:t>IT: VD_FINDINFO HC / 2018 / 17 del 12 gennaio 2018</w:t>
      </w:r>
    </w:p>
    <w:p>
      <w:pPr>
        <w:pStyle w:val="Heading2"/>
      </w:pPr>
      <w:r>
        <w:t>Regeste</w:t>
      </w:r>
    </w:p>
    <w:p>
      <w:r>
        <w:t>OBLIGATION D'ENTRETIEN, ENFANT, MINIMUM VITAL | 176 al. 1 ch. 1 CC, 285 CC</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3</w:t>
      </w:r>
    </w:p>
    <w:p>
      <w:r>
        <w:t>Dans ses deux premiers moyens, qu’il convient d’examiner ensemble, l 'appelant soutient que l'intimée aurait, de manière erronée, conclu au rejet des mesures provisionnelles et à ce qu'il soit astreint au versement d'une pension globale en sa faveur et en faveur de l’enfant V.________. En particulier, il estime que les conclusions de l'intimée dans sa réponse seraient mal formulées, qu'il ne s'agirait pas d'une procédure en modification mais bien en fixation d'entretien, laquelle s'inscrit après l'entrée en vigueur du nouveau droit qui exclut la fixation d'une contribution globale. Cet argument est abusif dès lors que l'appelant lui-même, au moment du dépôt de la requête de mesures provisionnelles, a déclaré qu'il s'agissait de « remplacer » le prononcé de mesures protectrices de l'union conjugale du 27 mars 2013 (all. 7). D'autre part, on ne comprend pas pour quel motif l'appelant s'en prend, à ce stade, au mémoire que la partie adverse a déposé le 15 septembre 2017 alors que le premier juge n'a pas retenu qu'il s'agissait d'une procédure en modification ni qu'il s'agissait de fixer une pension globale. Par ailleurs, l'appelant n'expose pas pour quel motif le fait de considérer qu'il s'agisse d'une procédure en modification en lieu et place d'une procédure en fixation de la contribution d'entretien lui serait préjudiciable. Enfin, on ne saurait suivre l’argument – également abusif – selon lequel le premier juge aurait statué extra petita – et donc en violation du principe de disposition (art. 58 al. 1 CPC) – en octroyant une pension distincte en faveur de l’intimée qui avait conclu au versement d’une pension globale pour elle et V.________, puisque les conclusions prises par l’appelant dans sa requête de mesures provisionnelles portaient elles-mêmes sur des contributions séparées (mère/enfant), en application du nouveau droit de l'entretien de l'enfant – en vigueur depuis le 1 er janvier 2017 – qui distingue la contribution d'entretien due à l'enfant de celle due au conjoint (cf. art. 176 al. 1 ch. 1 et 276a al. 1 CC ; cf ég. art. 13c bis al. 1 du Titre final CC qui prévoit que les procédures en cours à l'entrée en vigueur de la modification du 20 mars 2015 sont soumises au nouveau droit). Les deux moyens sont dès lors mal fondés et doivent être rejetés.</w:t>
      </w:r>
    </w:p>
    <w:p>
      <w:r>
        <w:rPr>
          <w:b/>
        </w:rPr>
        <w:t>E. 4.1</w:t>
      </w:r>
    </w:p>
    <w:p>
      <w:r>
        <w:t>Dans un troisième moyen, l'appelant conteste d'une part ne pas avoir établi qu'il s'acquittait de la charge fiscale alléguée et reproche au premier juge, compte tenu de son devoir d'interpellation, de ne pas lui avoir indiqué que les pièces produites à cet égard et les chiffres articulés n'étaient pas suffisants. Il s'agissait alors de retenir un montant de 1'200 fr. dans ses charges fiscales.</w:t>
      </w:r>
    </w:p>
    <w:p>
      <w:r>
        <w:rPr>
          <w:b/>
        </w:rPr>
        <w:t>E. 4.2.1</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 ce principe s'applique aussi aux mesures protectrices de l'union conjugale et aux mesures provisionnelles (TF 5A_511/2010 du 4 février 2011 consid. 2.2.3 ; TF 5A_508/2011 du 21 novembre 2011 consid. 4.2.5 ; TF 5A_219/2014 du 26 juin 2014 consid. 4.2.1). En revanche, si les moyens des parties sont limités par rapport aux besoins vitaux, il n’y a pas lieu de prendre en considération les impôts courants, qui ne font pas partie des besoins vitaux (ATF 127 III 289 consid. 2a/bb. ; 126 III 353 consid. 1a/aa), ni les arriérés d'impôts (ATF 140 III 337 consid. 4.4, JdT 2015 II 227 ; TF 5A_779/2015 du 12 juillet 2016 consid. 5.2, FamPra.ch 2016 p. 976). Le Tribunal fédéral a considéré qu’un solde de plus de 500 fr. à répartir entre les époux justifiait que la charge fiscale courante d’impôts soit prise en considération (TF 5A_511/2010 du 4 février 2011 consid. 2.2.3). Il faut encore que le débirentier prouve avoir payé jusque-là les impôts courants (TF 5A_779/2015 du 12 juillet 2016 consid. 5.2, FamPra.ch 2016 p. 976). Lorsque la charge fiscale est prise en compte, elle doit l'être chez les deux époux (TF 5A_828/2014 du 25 mars 2015 consid. 6.3). Cela présuppose de faire une évaluation de la charge fiscale future des parties en fonction des contributions fixées. A cet effet, on peut utiliser la calculette de l'Administration cantonale des impôts. Le Tribunal fédéral a fait référence à de telles simulations d'impôts disponibles sur des sites de l'administration fiscale (TF 5A_475/2011 du 12 décembre 2011 consid. 6.1.1.), méthode qui comporte toutefois une part d'incertitude (ATF 121 III 20 consid. 3a p. 22 et les arrêts cités).</w:t>
      </w:r>
    </w:p>
    <w:p>
      <w:r>
        <w:rPr>
          <w:b/>
        </w:rPr>
        <w:t>E. 4.2.2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w:t>
      </w:r>
    </w:p>
    <w:p>
      <w:r>
        <w:rPr>
          <w:b/>
        </w:rPr>
        <w:t>E. 4.3</w:t>
      </w:r>
    </w:p>
    <w:p>
      <w:r>
        <w:t>En l'espèce, contrairement à ce que semble soutenir l'appelant et conformément aux principes exposés ci-dessus, ce n'est pas parce que des outils sont à disposition du magistrat sur internet pour déterminer la quotité de la charge fiscale, surtout dans un souci d'équité entre les parties, que celles-ci peuvent être dispensées de démontrer que cette charge grève effectivement leur budget. Or, l'appelant a allégué une charge d'impôts de 1'200 fr. mais n’a pas démontré, conformément à la jurisprudence précitée, s’en être acquitté jusque-là, se contentant de produire une simulation de ses impôts basés sur son salaire. L'appréciation du premier magistrat selon laquelle l’intéressé n’avait pas justifié du paiement régulier d’acomptes, ni leur montant, ne prête dès lors pas le flanc à la critique. En conséquence, faute d’en avoir prouvé le paiement, la charge d’impôts ne peut pas être prise en compte, de sorte que le grief de l’appelant doit être rejeté.</w:t>
      </w:r>
    </w:p>
    <w:p>
      <w:r>
        <w:rPr>
          <w:b/>
        </w:rPr>
        <w:t>E. 5.1</w:t>
      </w:r>
    </w:p>
    <w:p>
      <w:r>
        <w:t>Dans un dernier moyen, l’appelant fait valoir qu'il est contraire aux principes du nouveau droit de l'entretien de l'enfant de faire bénéficier celui-ci d'une part de l'excédent, a fortiori lorsque le principe du minimum vital est appliqué.</w:t>
      </w:r>
    </w:p>
    <w:p>
      <w:r>
        <w:rPr>
          <w:b/>
        </w:rPr>
        <w:t>E. 5.2.1</w:t>
      </w:r>
    </w:p>
    <w:p>
      <w:r>
        <w:t>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prévoit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Spycher, Kindesunterhalt : Rechtliche Grundiagen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139).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 Bähler, op. cit., pp. 322ss). L'addition des coûts directs de l'enfant – éventuellement pondérés en fonction de la prise en charge effective de chaque parent – et de la contribution de prise en charge constituera le montant dû au titre de contribution d'entretien pour l'enfant (Stoudmann, loc. cit.).</w:t>
      </w:r>
    </w:p>
    <w:p>
      <w:r>
        <w:rPr>
          <w:b/>
        </w:rPr>
        <w:t>E. 5.2.2</w:t>
      </w:r>
    </w:p>
    <w:p>
      <w:r>
        <w:t>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 ATF 116 II 103 consid. 2f ; TF 5A_127/2009 du 12 octobre 2009 consid. 6.3.2 ; TF 5A_792/2008 du 26 février 2009 consid. 5.3.1 ; TF 5A_507/2007 du 23 avril 2008 consid. 5.1). Le simple fait que la méthode utilisée par le juge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 er mai 2017 consid. 4.1.3.2).</w:t>
      </w:r>
    </w:p>
    <w:p>
      <w:r>
        <w:rPr>
          <w:b/>
        </w:rPr>
        <w:t>E. 5.3</w:t>
      </w:r>
    </w:p>
    <w:p>
      <w:r>
        <w:t>En l’espèce, après déduction des charges de chacun des parents, le premier juge a retenu que B.Q.________ avait un disponible de 3'038 fr. 70, alors qu’A.Q.________ présentait un découvert de 973 fr. 45, l’entretien convenable de l’enfant V.________, correspondant au total de ses coûts directs, étant de 779 fr. 60. Après couverture de l’entretien de V.________, du déficit de l’intimée et de la prise en compte de la contribution pour l’enfant majeures G.________, le disponible de l’appelant se montait à 860 fr. 65, que le premier juge a réparti en trois parts pour chacun des époux et pour V.________, de 286 fr. 90 chacune, afin de tenir compte des circonstances concrètes et d’arriver à un résultat équitable. L’appelant ne conteste ni les budgets des parties (à l’exception des impôts qui devraient être ajoutés à ses charges à hauteur de 400 fr. par mois [consid. 4 supra ]), ni celui de l’enfant V.________, tels que retenus en première instance, ni la méthode du minimum vital appliquée par le premier juge, ni même le fait que les coûts directs de l’enfant aient été mis entièrement à sa charge. L’appelant reproche en revanche au premier juge d’avoir considéré qu’un tiers de son disponible, soit 286 fr. 90 (860 fr. 65 : 3), devait encore être dévolu à V.________ et d’avoir ainsi arrêté la contribution d'entretien due en faveur de cette enfant à 1'066 fr. 40 (779 fr. 60 + 286 fr. 80 ) , arrondis à 1'000 francs. Le premier juge s’est écarté d’une répartition par moitié de l’excédent et l’a partagé entre les trois membres de la famille, dont l’enfant mineure V.________ (à l’exclusion de l’autre enfant majeure G.________, ce qui n’est pas remis en cause). Une telle façon de faire n’est pas contraire à la jurisprudence et n’apparaît pas insoutenable, ce d’autant moins que le premier juge bénéficie d’un large pouvoir d’appréciation. En l’occurrence, il apparaît en effet équitable de faire bénéficier l’enfant V.________ de la situation favorable de son père, d’autant plus qu’il n’y a pas eu de contribution de prise en charge. Au demeurant, l 'attribution de l’excédent à raison d'un tiers pour l’enfant et d’un tiers pour chacun des parents se réfère implicitement à la pratique antérieure au 1 er janvier 2017, par laquelle le montant disponible, après paiement des minima vitaux et contribution(s) d'entretien en faveur des enfants, était réparti à raison de deux tiers pour le parent gardien et d’un tiers pour le parent non gardien (CACI 26 septembre 2017/426). Ainsi, la façon de procéder du premier juge ne prête pas le flanc à la critique. Il en résulte que la répartition de l’excédent opérée par ce dernier et le montant de la contribution d’entretien en faveur de l’enfant V.________, arrêté en première instance à 1'000 fr. par mois, doivent être confirmés. Il en va de même de la pension due par l’appelant à l’intimée, fixée par le premier juge au montant (arrondi) de 1'200 fr. par mois, que l’appelant conteste uniquement en partant du principe que son précédent moyen tiré d’une violation par le premier juge du principe de disposition en relation avec la conclusion prise sur ce point par l’intimée en première instance est admis, ce qui n’est pas le cas (consid. 3 supra ).</w:t>
      </w:r>
    </w:p>
    <w:p>
      <w:r>
        <w:rPr>
          <w:b/>
        </w:rPr>
        <w:t>E. 6</w:t>
      </w:r>
    </w:p>
    <w:p>
      <w:r>
        <w:t>Compte tenu de ce qui précède, l’appel doit être rejeté, en application de l’art. 312 al. 1 CPC, et l’ordonnance entreprise confirmée. La requête d’assistance judiciaire déposée par B.Q.________ doit être rejetée, dès lors que son appel était dépourvu de toute chance de succès (art. 117 let. b CPC). Les frais judiciaires de deuxième instance, arrêtés à 600 fr. (art 65 al. 2 TFJC [tarif des frais judiciaires civils du 28 septembre 2010 ; RSV 270.11.5]), seront mis à la charge de l’appelant, qui succombe (art. 106 al. 1 CPC). L’intimée n’ayant pas été invitée à se déterminer sur l’appel, il n’y a pas matière à l’allocation de dépens. Par ces motifs, la Juge déléguée de la Cour d’appel civile du Tribunal cantonal prononce : I. L’appel est rejeté. II. L’ordonnance est confirmée. III. La requête d’assistance judiciaire est rejetée. IV. Les frais judiciaires de deuxième instance, arrêtés à 600 fr. (six cents francs), sont mis à la charge de l’appelant B.Q.________. V. L’arrêt est exécutoire. La juge déléguée : Le greffier : Du Le présent arrêt, dont la rédaction a été approuvée à huis clos, est notifié à : ‑ Me José Coret (pour B.Q.________), ‑ Me Emilie Madeleine Praz (pour A.Q.________),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