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143 vom 29. Januar 2018</w:t>
      </w:r>
    </w:p>
    <w:p>
      <w:r>
        <w:t>VD Tribunal cantonal, 2018-01-29, FR</w:t>
      </w:r>
    </w:p>
    <w:p>
      <w:r>
        <w:rPr>
          <w:b/>
        </w:rPr>
        <w:t xml:space="preserve">Quelle: </w:t>
      </w:r>
      <w:r>
        <w:t>https://mcp.opencaselaw.ch/entscheid/vd_findinfo_HC___2018___143</w:t>
      </w:r>
    </w:p>
    <w:p>
      <w:r>
        <w:t>FR: VD_FINDINFO HC / 2018 / 143 du 29 janvier 2018</w:t>
      </w:r>
    </w:p>
    <w:p>
      <w:r>
        <w:t>IT: VD_FINDINFO HC / 2018 / 143 del 29 gennaio 2018</w:t>
      </w:r>
    </w:p>
    <w:p>
      <w:pPr>
        <w:pStyle w:val="Heading2"/>
      </w:pPr>
      <w:r>
        <w:t>Regeste</w:t>
      </w:r>
    </w:p>
    <w:p>
      <w:r>
        <w:t>BAIL À LOYER, RESTAURANT, DÉFAUT DE LA CHOSE, ISSUE DE SECOURS, AUTORISATION OU APPROBATION{EN GÉNÉRAL}, VOLONTÉ RÉELLE, INTERPRÉTATION{SENS GÉNÉRAL}, DROIT À LA RÉDUCTION DU PRIX, RÉSILIATION ANTICIPÉE, DILIGENCE, INTERDICTION DE DÉMOLIR, INDEMNITÉ POUR OCCUPATION ILLICITE | 256 CO, 257f CO, 259d CO, 259g CO, 97 CO</w:t>
      </w:r>
    </w:p>
    <w:p>
      <w:pPr>
        <w:pStyle w:val="Heading2"/>
      </w:pPr>
      <w:r>
        <w:t>Erwägungen</w:t>
      </w:r>
    </w:p>
    <w:p>
      <w:r>
        <w:rPr>
          <w:b/>
        </w:rPr>
        <w:t>E. 8.1</w:t>
      </w:r>
    </w:p>
    <w:p>
      <w:r>
        <w:t>En conclusion, les appels doivent être rejetés, le jugement attaqué annulé d’office aux chiffres V, VI, VII, VIII et IX de son dispositif et la cause renvoyée au Tribunal des baux pour nouvelle instruction et nouvelle décision dans le sens des considérants, ainsi que pour refixer les frais et dépens de première instance, le jugement étant maintenu pour le surplus.</w:t>
      </w:r>
    </w:p>
    <w:p>
      <w:r>
        <w:rPr>
          <w:b/>
        </w:rPr>
        <w:t>E. 8.2</w:t>
      </w:r>
    </w:p>
    <w:p>
      <w:r>
        <w:t>Les frais judiciaires de deuxième instance afférents à l’appel de B.D.________ et C.D.________, arrêtés à 2'415 fr. (art. 62 al. 1 TFJC [tarif des frais judiciaires civils du 28 septembre 2010 ; RSV 270.11.5]), seront mis à la charge des appelants, qui succombent (art. 106 al. 1 CPC), solidairement entre eux (art. 106 al. 3 CPC). Les frais judiciaires de deuxième instance afférents à l’appel de M.________, arrêtés à 2'232 fr., seront mis à la charge de l’appelante, qui succombe (art. 106 al. 1 CPC).</w:t>
      </w:r>
    </w:p>
    <w:p>
      <w:r>
        <w:rPr>
          <w:b/>
        </w:rPr>
        <w:t>E. 8.3</w:t>
      </w:r>
    </w:p>
    <w:p>
      <w:r>
        <w:t>Vu l’issue du litige, les appelants B.D.________ et C.D.________, solidairement entre eux, doivent verser à l’intimée M.________ la somme de 2’500 fr. à titre de dépens de deuxième instance. L’appelante M.________ doit verser aux intimés B.D.________ et C.D.________, créanciers solidaires, la somme de 2'500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