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1211 vom 8. März 2019</w:t>
      </w:r>
    </w:p>
    <w:p>
      <w:r>
        <w:t>VD Tribunal cantonal, 2019-03-08, FR</w:t>
      </w:r>
    </w:p>
    <w:p>
      <w:r>
        <w:rPr>
          <w:b/>
        </w:rPr>
        <w:t xml:space="preserve">Quelle: </w:t>
      </w:r>
      <w:r>
        <w:t>https://mcp.opencaselaw.ch/entscheid/vd_findinfo_HC___2018___1211</w:t>
      </w:r>
    </w:p>
    <w:p>
      <w:r>
        <w:t>FR: VD_FINDINFO HC / 2018 / 1211 du 8 mars 2019</w:t>
      </w:r>
    </w:p>
    <w:p>
      <w:r>
        <w:t>IT: VD_FINDINFO HC / 2018 / 1211 del 8 marzo 2019</w:t>
      </w:r>
    </w:p>
    <w:p>
      <w:pPr>
        <w:pStyle w:val="Heading2"/>
      </w:pPr>
      <w:r>
        <w:t>Regeste</w:t>
      </w:r>
    </w:p>
    <w:p>
      <w:r>
        <w:t>DROIT DE RÉPONSE, MÉDIA À CARACTÈRE PÉRIODIQUE, PROTECTION DE LA PERSONNALITÉ | 28g CC, 28h CC</w:t>
      </w:r>
    </w:p>
    <w:p>
      <w:pPr>
        <w:pStyle w:val="Heading2"/>
      </w:pPr>
      <w:r>
        <w:t>Erwägungen</w:t>
      </w:r>
    </w:p>
    <w:p>
      <w:r>
        <w:rPr>
          <w:b/>
        </w:rPr>
        <w:t>E. 1.1</w:t>
      </w:r>
    </w:p>
    <w:p>
      <w:r>
        <w:t>Sauf les exceptions prévues à l’art. 309 CPC (Code de procédure civile du 19 décembre 2008 ; RS 272), l’appel est recevable, dans les causes non patrimoniales, contre les décisions finales de première instance (art. 308 al. 1 let. a CPC) au sens de l’art. 236 CPC (art. 308 al. 2 CPC a contrario ). Un litige portant sur l’exécution judiciaire d’un droit de réponse au sens des art. 28g ss CC est de nature non patrimoniale (TF 5A_275/2011 et 5A_276/2011 du 8 août 2011 consid. 2, non publié à l’ATF 137 III 433 ; Bohnet, in Actions civiles, vol. I, 2 e éd. 2019, § 3 N 12), de sorte que la détermination de la valeur litigieuse ne se pose pas. La Cour d'appel civile connaît de tous les appels formés en application de l'art. 308 CPC (art. 84 al. 1 LOJV [loi vaudoise d'organisation judiciaire du 12 décembre 1979 ; BLV 173.01]). En l’espèce, l’appel a été déposé auprès de l’autorité compétente contre une décision finale de première instance dans une cause non patrimoniale, par une partie qui a un intérêt digne de protection (art. 59 al. 2 let. a CPC), de sorte qu’il est recevable.</w:t>
      </w:r>
    </w:p>
    <w:p>
      <w:r>
        <w:rPr>
          <w:b/>
        </w:rPr>
        <w:t>E. 1.2.1</w:t>
      </w:r>
    </w:p>
    <w:p>
      <w:r>
        <w:t>Aux termes de l’art. 249 let. a ch. 2 CPC, la procédure sommaire s'applique dans les affaires relatives à l’exercice du droit de réponse au sens de l’art. 28l CC, soit en cas de recours au juge. Le délai d’appel contre une décision rendue en la matière est dès lors de dix jours (art. 314 al. 1 CPC). L’appelant, auquel le jugement motivé entrepris a été notifié le 14 juin 2018, a déposé son acte d’appel au plus tôt le 14 juillet 2018, soit hors du délai légal de dix jours. L’appelant paraît toutefois s’être fié à l’indication erronée du délai donnée par le premier juge, qui a mentionné, au pied de son jugement, la possibilité de faire appel, au sens des art. 308 ss CPC, dans un délai de trente jours dès la notification de sa décision.</w:t>
      </w:r>
    </w:p>
    <w:p>
      <w:r>
        <w:rPr>
          <w:b/>
        </w:rPr>
        <w:t>E. 1.2.2</w:t>
      </w:r>
    </w:p>
    <w:p>
      <w:r>
        <w:t>Selon la jurisprudence, on déduit du principe de la bonne foi que les parties ne doivent subir aucun préjudice en raison d'une indication inexacte des voies de droit (ATF 117 Ia 297 consid. 2 ; ATF 117 Ia 421 consid. 2c). Une partie ne peut toutefois se prévaloir de cette protection que si elle se fie de bonne foi à cette indication. Tel n'est pas le cas de la partie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des indications sur la voie de droit (TF 5A_704/2011 du 23 février 2012 consid. 8.3.2 et les réf. citées ; TF 4A_170/2017 et 4A_194/2017 du 22 mai 2018 consid. 6.2.1.1). En l’espèce, il y a lieu de constater que, tant en première qu’en deuxième instance, l’appelant n’a pas été assisté d’un avocat. Par ailleurs, bien que l’appelant soit juriste, il n’apparaît pas qu’il pratique régulièrement la procédure civile. Il y a dès lors lieu de protéger sa bonne foi et de retenir qu’il pouvait se fier à l’indication erronée du délai d’appel.</w:t>
      </w:r>
    </w:p>
    <w:p>
      <w:r>
        <w:rPr>
          <w:b/>
        </w:rPr>
        <w:t>E. 1.3.1</w:t>
      </w:r>
    </w:p>
    <w:p>
      <w:r>
        <w:t>A teneur de l’art. 311 al. 1 CPC, l'appel s'introduit par un acte « écrit et motivé ». Selon la jurisprudence du Tribunal fédéral,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En règle générale, les conclusions portant sur des prestations en argent doivent être chiffrées (ATF 137 III 617 consid. 4.2 et 4.3 ; TF 4A_25/2018 du 8 février 2018 consid. 4). Selon l’art. 317 al. 2 CPC, la demande d’appel ne peut être modifiée que si les conditions fixées à l’art. 227 al. 1 CPC sont remplies (let. a) et si la modification repose sur des faits ou des moyens de preuve nouveaux (let. b). Aux termes de l’art. 227 al. 1 CPC, la demande peut être modifiée si la prétention nouvelle ou modifiée relève de la même procédure et que l’une des conditions suivantes est remplie : a. la prétention nouvelle ou modifiée présente un lien de connexité avec la dernière prétention ; b. la partie adverse consent à la modification de la demande.</w:t>
      </w:r>
    </w:p>
    <w:p>
      <w:r>
        <w:rPr>
          <w:b/>
        </w:rPr>
        <w:t>E. 1.3.2</w:t>
      </w:r>
    </w:p>
    <w:p>
      <w:r>
        <w:t>En première instance, l’appelant avait conclu, avec suite de frais et dépens, à l’exécution de son droit de réponse en vertu de l’art. 28g CC « dans la forme que le tribunal jugera convenable ». Le premier juge a néanmoins examiné le contenu du droit de réponse au regard du texte soumis par l’appelant à l’intimée le 4 janvier 2018. Dans son appel, l’appelant conclut principalement à la réforme du jugement entrepris, en ce sens qu’un droit de réponse soit ordonné dans les colonnes de l’intimée. Il ne précise toutefois pas sur quels points litigieux et selon quelle teneur il souhaite que son droit soit concrétisé. On admettra toutefois que l’appelant persiste dans la teneur du texte de son droit de réponse tel que soumis le 4 janvier 2018 à l’intimée et qui a été examiné en première instance. En deuxième instance, l’appelant prend en outre une nouvelle conclusion en paiement d’une « juste indemnité pour tort moral ». Cette dernière conclusion est toutefois d’emblée irrecevable, dès lors qu’elle n’est ni motivée, ni chiffrée, et que, au demeurant, elle n’apparaît pas répondre aux réquisits de l’art. 317 al. 2 CPC.</w:t>
      </w:r>
    </w:p>
    <w:p>
      <w:r>
        <w:rPr>
          <w:b/>
        </w:rPr>
        <w:t>E. 2.1</w:t>
      </w:r>
    </w:p>
    <w:p>
      <w:r>
        <w:t>et les réf. citées ; cf. ég. Steinauer/Fountoulakis, op. cit., nn. 646 ss ; Guillod, loc. cit ; Bohnet, op. cit., § 3 n. 3). Les entreprises de presse diffusant des informations de manière hebdomadaire sont considérées comme des médias à caractère périodique (Steinauer/Fountoulakis, op. cit., nn. 620 s ; Guillod, loc. cit.). 3.3 Dans le premier paragraphe de sa réponse du 4 janvier 2018, l’appelant fait valoir son droit en relation avec sa prétendue « proposition de tirer une balle dans la nuque de C.________ », telle que rapportée dans le chapeau de l’article litigieux. Dans le second paragraphe, l’appelant s’en prend aux considérations émises dans l’article litigieux au sujet de la prise de position Nr. [...] du Conseil suisse de la presse. 3.3.1 S’agissant tout d’abord de ces dernières considérations, force est de constater que l’auteur de l’article litigieux s’est borné, d’une part, à exposer les positions divergentes des deux parties concernant la prise de contact préalable de l’appelant avant la parution de l’article, et, d’autre part, à reprendre textuellement une phrase figurant dans la prise de position Nr. [...] du Conseil de la presse, selon laquelle « au vu même des éléments contenus dans la plainte, on ne saurait faire le reproche au journaliste [du N.________] de ne pas avoir cherché à atteindre le plaignant ». L’auteur de l’article a ainsi fidèlement reproduit le texte litigieux et n’a, à aucun moment, cherché à sortir la phrase de son contexte ou à l’interpréter. Par ailleurs, contrairement à ce qui est écrit dans le deuxième paragraphe du droit de réponse demandé, l'article litigieux ne dit pas que le journaliste du N.________ aurait pris contact avec l'appelant, mais bien qu'il ne l'a pas fait et que, dans les circonstances particulières du cas d'espèce, le Conseil suisse de la presse n'a pas trouvé à y redire. À cet égard, la présentation des faits par l'article litigieux ne touche pas l'appelant dans sa personnalité. 3.3.2 En ce qui concerne le premier paragraphe du droit de réponse sollicité, il apparaît que l e chapeau de l'article litigieux, qui mentionne comme si elle avait vraiment été faite « [la] proposition [de l'appelant] de tirer une balle dans la nuque de C.________ », d'une part, ainsi que la citation hors contexte, dans le corps de l'article litigieux, de la phrase « Et pour C.________, ce sera direct une balle dans la nuque (...) », d'autre part, signifient, pour tout lecteur non prévenu, que l'appelant aurait lui-même appelé au meurtre de C.________. Cette signification est encore renforcée par un autre passage de l'article litigieux, dans lequel l'auteur, se référant à la phrase précitée, écrit : « à l'époque, cette petite phrase, dans laquelle il [ndr : l'appelant] s'en prend à C.________ [souligné par le réd.], candidat [...] au Conseil d'Etat, provoque un tollé en [...] ». Or, il était reconnaissable pour tout lecteur attentif de la page Facebook de l'appelant que la phrase citée dans le corps de l'article litigieux appartenait à une exégèse satirique – dont la Cour de céans n'a pas à juger de la drôlerie, ni de la pertinence – que l'appelant a prétendu faire du post de la Présidente du W.________, dans lequel celle-ci avait fait grief à d'aucuns, implicitement à C.________, de compromettre les positions socialistes au Conseil d'Etat [...] en appelant à biffer le nom d'une autre candidate du même parti. Placée dans son contexte, la phrase de l'appelant, que l'article litigieux cite isolément, n'était donc pas un appel au meurtre que l’appelant aurait adressé lui-même à ses concitoyens contre C.________, mais l'imputation, à la Présidente du W.________, de menaces de mort contre C.________, que l'intéressée aurait prétendument voulu signifier par son post du 23 février 2017 – imputation certes susceptible de porter atteinte à l'honneur de la Présidente du W.________, mais qui ne pouvait pas être comprise comme des menaces proférées par l'appelant lui-même contre C.________. Il importe peu qu'en reprenant hors contexte la phrase précitée de l'appelant, en mentionnant « sa proposition de tirer une balle dans la nuque de C.________ » et en affirmant que la petite phrase citée s'en prenait à celui-ci, l'article litigieux ait, au fond, répété ce que l'intimée avait déjà publié auparavant. L'article litigieux ne se borne pas à rapporter que N.________ avait publié une certaine présentation des faits ; même si son objet principal est le rejet de la plainte dont l'appelant avait saisi le Conseil suisse de la presse, l'article litigieux présente à nouveau brièvement les faits à l'origine de l'affaire, en affirmant que l'appelant s'en était pris à C.________, par une phrase dans laquelle il le menaçait d'une balle dans la nuque. Contrairement à ce qu'a considéré le premier juge, cette nouvelle présentation des faits, dans une publication périodique, ouvre à l'appelant, si elle le touche directement dans sa personnalité, un nouveau droit de réponse sur les éléments présentés à nouveau dans la seconde publication, même si l'appelant n'avait pas exigé de droit de réponse après la première publication – ensuite de laquelle il avait, du reste, saisi le Conseil suisse de la presse. Contrairement à ce qu'a retenu le premier juge, l'article litigieux ne fournit pas au lecteur les éléments contextuels nécessaires à la bonne compréhension des propos de l'appelant. Certes, l'article litigieux indique que ces propos ont été publiés « en réaction à un message du W.________ », mais sans autre précision, ce qui ne permet pas de saisir que la phrase citée – « Et pour C.________, ce sera direct une balle dans la nuque (...) » – est un propos que l'appelant prêtait satiriquement à un tiers, et non une menace proférée par lui-même. L'impression que donne l'article est donc que l'appelant a lui-même menacé C.________ et qu'il a ensuite indiqué, pour tenter de justifier cet acte, qu'il s'agissait d'humour, de satire et de second degré. Imputer à une personne d'en avoir menacé une autre de mort est attentatoire à l'honneur ; l'appelant est dès lors en droit d'exercer un droit de réponse sur ce point. 3.4 3.4.1 Saisi d'une action en exécution du droit de réponse tendant à la diffusion d'un texte, le juge peut le réduire, voire le modifier et même le compléter, à certaines conditions, afin de l'adapter aux exigences légales. Selon la jurisprudence, il est évident que le juge peut raccourcir le texte de façon qu'il soit conforme à la loi, car cela correspond à l'admission partielle de la demande. La faculté qu'il a de le modifier et de le compléter entre également dans son pouvoir de réduction : du point de vue du contenu du texte, la modification ou le complètement du texte sont en réalité une réduction ; il s'agit, en effet, de diminuer la portée de la réponse, c'est-à-dire d'admettre un énoncé plus restreint que celui qui avait été demandé au départ. De telles réductions ou adjonctions ne peuvent certes être admises que dans la mesure où le contenu du texte n'en devient pas plus étendu que le texte initialement soumis à l'entreprise de médias. Elles ne peuvent qu'affaiblir le droit de réponse original. Du point de vue de son contenu, et non en ce qui concerne le nombre de mots, le texte modifié représente une simple réduction du texte d'origine. Ainsi comprises, ces modifications ne constituent qu'une admission partielle de la demande et ne dérogent d'aucune manière aux principes du droit de procédure (ATF 117 II 1 consid. 2 b/bb et cc). Le juge ne peut toutefois admettre partiellement la demande que lorsque le texte de la réponse est formulé de telle sorte qu'il puisse être modifié sans difficulté pour respecter les exigences légales. On ne saurait, en effet, exiger du juge qu'il rédige lui-même le texte du droit de réponse (ATF 117 II 1 consid. 2c ; ATF 119 II 104 consid. 3e ; TF 5C.237/2002 du 18 février 2003 consid. 2.3 et les réf. citées ; cf. ég. ATF 130 III 1 consid. 3.2, JdT 2004 I 192 ;  TF 5A_192/2011 du 7 février 2012 consid. 2.3). 3.4.2 En l’espèce, le texte soumis par l’appelant à l’intimée le 4 janvier 2018 peut prêter à confusion en cas de publication, dès lors qu’il est rédigé sous une forme ne laissant pas apparaître qu’il est le reflet de l’expression de l’appelant. Afin d’y remédier, il convient de désigner nommément l’appelant au bas du texte de la réponse – réduit au premier paragraphe (cf. supra consid. 3.3.1) – et de modifier la désignation de l’appelant au sein du texte, afin que les lecteurs comprennent qu’il en est l’auteur. Au demeurant , le texte soumis par l’appelant sera, d’office, mis en forme et épuré de toute coquille. En outre, les extraits tirés des posts litigieux qui sont mentionnés par l’appelant dans son droit de réponse seront cités dans leur teneur originale. Le droit de réponse de l’appelant doit ainsi être admis sous la forme suivante : « Dans un article du 31 décembre 2017, intitulé « Le coordinateur romand de l’E.________ essuie dix échecs », N.________ a écrit que j’avais proposé de « tirer une balle dans la nuque de C.________ ». Je n’ai jamais rien proposé de tel : le 24 février 2017, j’ai reproduit un post de la Présidente du W.________, qui qualifiait de « sournois » le fait « d’appeler à tracer » un candidat [...], et y ai notamment ajouté les commentaires suivants : « Les dissidents et autres ennemis du peuple seront exilés au goulag de la Brévine » et « Et pour C.________, ce sera direct une balle dans la nuque avec facture de ladite balle à la famille (TVA comprise)… ». J’ai ainsi fait une allusion précise et ironique au traitement réservé aux dissidents dans les dictatures [...], allusion finalement comprise par M. C.________, qui a d’ailleurs renoncé à toute forme de plainte. A.________ ». 3.5 3.5.1 Selon l’art. 28k al. 1 CC, la réponse doit être diffusée le plus tôt possible et de manière à atteindre le public qui a eu connaissance de la présentation contestée. Même s’il n’en résulte pas une obligation stricte d’imprimer la réponse dans la même rubrique, respectivement sur la même page que la communication primitive, il doit cependant s’agir d’un mode de publication que le même public prend également en considération. Plus la présentation contestée a attiré l’attention, plus il se justifie d’accorder à la réponse les mêmes modalités de publication (cf. ATF 123 III 145 consid. 2, rés. in JdT 1997 I 677). Une publication dans le courrier des lecteurs ne satisfait pas à cette condition, lorsque la contribution contestée a paru dans une rubrique de relation objective des faits (cf. ATF 119 II 97 consid. 2a, JdT 1995 I 167  ; ATF 122 III 209 consid. 2a, JdT 1997 I 635 ; ATF 137 III 433 consid. 4.5, JdT 2012 II 269). 3.5.2 Compte tenu de la jurisprudence précitée, ordre sera donné à l’intimée de publier, à ses frais, le texte du droit de réponse de l’appelant dans la plus prochaine édition du N.________, au sein de la même rubrique que celle dans laquelle a été publié l’article litigieux. 4. 4.1 Au vu de ce qui précède, l'appel doit être partiellement admis et le jugement sera réformé dans le sens des considérants ci-dessus. 4.2 Vu l’issue de l’appel, en particulier le fait que le droit de réponse n’a été admis que pour l’un des deux points soulevés par l’appelant (cf. supra consid. 3.3), les frais judiciaires de première instance, par 600 fr., doivent être supportés à parts égales par les deux parties (art. 106 al. 2 CPC). La défenderesse versera ainsi au demandeur la somme de 300 fr. à titre de restitution partielle de l’avance de frais fournie par celui-ci (art. 111 al. 2 CPC). Les parties n’ayant pas été assistées par un représentant professionnel et n’ayant pas, en première instance, conclu au paiement d’une indemnité équitable en leur faveur au sens de l’art. 95 al. 3 let. c CPC, il n’y a pas lieu d’examiner la question du versement de dépens de première instance. 4.3 Les frais judiciaires de deuxième instance, arrêtés à 2'000 fr. (art. 64 al. 1 TFJC [tarif des frais judiciaires civils du 28 septembre 2010 ; BLV 270.11.5]), seront également mis par moitié à la charge de chacune des parties (art. 106 al. 2 CPC), à raison de 1’000 fr. pour l’appelant et de 1’000 fr. pour l’intimée. L’appelant bénéficiant de l’assistance judiciaire, les frais judiciaires de deuxième instance le concernant seront provisoirement assumés par l’Etat. 4.4 4.4.1 Pour la procédure d’appel, l’appelant a chiffré ses dépens à 4'050 fr., censés correspondre à vingt-sept heures de recherches et de rédaction au tarif horaire de 150 francs. Selon l’art. 95 al. 3 let. c CPC, lorsqu'une partie n'a pas de représentant professionnel, les dépens comprennent une indemnité équitable pour les démarches effectuées, dans les cas où cela se justifie. L'octroi d'une indemnité équitable pour les démarches effectuées n'intervient ainsi que dans les cas où cela se justifie et la décision d'octroi doit être motivée (TF 5D_229/2011 du 16 avril 2012 consid. 3.3.). Il est inhabituel que les coûts pour les démarches d’une partie non assistée par un avocat soient indemnisables, de sorte que cela nécessite une justification particulière (TF 4A_192/2016 du 22 juin 2016 consid. 8.2 ; TF 4A_233/2017 du 28 septembre 2017 consid. 4.1, RSPC 2018 p. 25). En l’espèce, l’appelant se contente de soutenir qu’il aurait effectué vingt-sept heures de travail en vue du dépôt de son appel, sans qu’il justifie en quoi une durée si importante aurait été nécessaire. L’appelant prétend en outre à une indemnisation de 150 fr. de l’heure, sans qu’il explique, non plus, pour quel motif un tel tarif horaire – proche de celui d’un avocat travaillant au tarif de l’assistance judiciaire (cf. art. 2 al. 1 let. a RAJ [Règlement du 7 décembre 2010 sur l'assistance judiciaire en matière civile ; BLV 211.02.3]) – serait applicable. Compte tenu du caractère relativement restrictif de l’art. 95 al. 3 let. c CPC, il convient de considérer que la motivation présentée n’est pas suffisante pour que l’appelant se voie octroyer, de la part de l’intimée, l’indemnité requise au sens de cette disposition. 4.4.2 L’intimée, quant à elle, a été assistée en deuxième instance par un représentant professionnel et a conclu à l’allocation de dépens. Vu l'importance et la difficulté de la cause, le temps de travail consacré par celui-ci au dossier de la cause peut être estimé à quinze heures, à un tarif horaire de 350 fr., soit 5'250 fr., auxquels s’ajoutent des débours de 5 % (art. 3 al. 1 et 2, 9 al. 2 et 19 al. 2 TDC [tarif des dépens en matière civile du 23 novembre 2010 ; BLV 270.11.6] ; art. 118 al. 3 CPC). Au total, les dépens mis à la charge de l’appelant se montent ainsi à 5’937 fr., TVA de 7.7 % comprise (5'250 fr. + 262 fr. 50 + 424 fr. 50). Compte tenu de l’issue de l’appel, ils seront réduits de moitié à 2'968 fr. 50 et arrondis à 2'970 francs.</w:t>
      </w:r>
    </w:p>
    <w:p>
      <w:r>
        <w:rPr>
          <w:b/>
        </w:rPr>
        <w:t>E. 2.2.1</w:t>
      </w:r>
    </w:p>
    <w:p>
      <w:r>
        <w:t>Selon l'art. 317 al. 1 CPC, un moyen de preuve nouveau n'est pris en compte au stade de l'appel que s'il est produit sans retard (let. a) et ne pouvait l'être devant la première instance, bien que la partie qui s'en prévaut ait fait preuve de la diligence requise (let. b). A cet égard, on distingue vrais et faux nova. Les vrais nova sont des faits ou moyens de preuve qui ne sont nés qu’après la fin de l’audience de débats principaux de première instance. Ils sont recevables en appel lorsqu’ils sont invoqués sans retard après leur découverte. Les faux nova (ou pseudo nova) sont des faits ou moyens de preuve nouveaux qui existaient déjà lors de l’audience de débats principaux. Leur recevabilité en appel est exclue lorsqu’ils auraient pu être invoqués en première instance en faisant preuve de la diligence requise (cf. Colombini, op. cit., n. 1.3 et 1.4 ad art. 317 CPC).</w:t>
      </w:r>
    </w:p>
    <w:p>
      <w:r>
        <w:rPr>
          <w:b/>
        </w:rPr>
        <w:t>E. 2.2.2</w:t>
      </w:r>
    </w:p>
    <w:p>
      <w:r>
        <w:t>A l’appui de son appel, A.________ a produit neuf pièces, dont deux de forme (pièces 1 et 9), qui sont recevables. Les pièces 2 à</w:t>
      </w:r>
    </w:p>
    <w:p>
      <w:r>
        <w:rPr>
          <w:b/>
        </w:rPr>
        <w:t>E. 5</w:t>
      </w:r>
    </w:p>
    <w:p>
      <w:r>
        <w:t>ont déjà été produites en première instance et sont dès lors également recevables, de même que la pièce 7, qui porte sur des faits nés postérieurement à la clôture des débats de première instance le 26 janvier 2018. La pièce 6, du 25 septembre 2017, et la pièce 8, du 20 avril 2017, sont en revanche irrecevables, puisqu’elles n’ont pas été produites en première instance et que l’appelant ne soutient pas qu’elles n’auraient pas pu l’être, même en faisant preuve de la diligence requise. 3. 3.1 Dans un mémoire d’appel prolixe et dont les griefs sont parfois confus, l’appelant se plaint tout d’abord du caractère arbitraire du jugement au sens de l’art. 9 Cst. et liste vingt-deux points relatifs à ce moyen. L’appelant fait en outre grief au premier juge d’avoir violé le principe de proportionnalité découlant de l’art. 5 al. 2 Cst. et de ne pas avoir adapté le texte de la réponse qu’il avait soumise à l’intimée. L’appelant soutient également que, contrairement à ce qu’a retenu le premier juge, les conditions du droit de réponse au sens de l’art. 28g CC seraient remplies, de même que les exigences relatives au texte de la réponse, précisées à l’art. 28h al. 1 CC. Il se plaint par ailleurs d’une mauvaise application de l’interdiction générale de l’abus de droit manifeste, au sens de l’art. 2 al. 2 CC. Finalement, l’appelant reproche au premier juge d’avoir violé le principe de la célérité des art. 29 al. 1 Cst. et 6 § 1 CEDH, en laissant passer plus de cinq mois entre sa demande de motivation et la motivation du jugement entrepris. 3.2 3.2.1 La jurisprudence rappelle que la réglementation légale confère un droit de répondre à celui qui est directement touché dans sa personnalité par la présentation que font des médias à caractère périodique de faits qui le concernent (art. 28g al. 1 CC). L’auteur de la réponse doit en adresser le texte, qui doit satisfaire à des exigences de forme et de contenu (art. 28h CC), dans le délai prévu à l’entreprise, qui lui fait savoir sans retard quand elle diffusera la réponse ou pourquoi elle la refuse (cf. art. 28i CC). Si l’entreprise empêche l’exercice du droit, refuse la diffusion ou ne l’exécute pas correctement, l’auteur peut s’adresser au juge (art. 28l CC ; ATF 137 III 433 consid. 4.1, JdT 2012 II 269 ; TF 2C_402/2013 du 20 août 2013 consid. 4.3 et les réf. citées). Le droit de réponse comprend ainsi une première phase non judiciaire, décrite aux art. 28h à 28i CC, qui précède nécessairement la procédure devant le juge et qui constitue une condition de recevabilité de l’action au sens de l’art. 59 CPC (TF 5C.37/2002 du 7 mai 2002 consid. 2c et les réf. citées ; Bohnet, op. cit., § 3 n. 4). 3.2.2 Les trois conditions auxquelles une personne peut solliciter un droit de réponse résultent de l’art. 28g CC et sont les suivantes : ( i ) la personne est directement touchée dans sa personnalité, ( ii ) la personne est touchée par la présentation de faits la concernant et ( iii ) la présentation des faits émane d’un média à caractère périodique (cf. TF 5C.63/2006 du 12 juin 2006 consid. 2.1 et les réf. citées ; Steinauer/Fountoulakis, Droit des personnes physiques et de la protection de l’adulte, 2014, n. 638 ; Guillod, Droit des personnes, 5 e éd. 2018, n. 194). Selon la jurisprudence, une personne n’est, en principe, directement touchée dans sa personnalité par la présentation de faits le concernant que si la présentation des faits, alors même qu'elle ne lèse pas nécessairement la personnalité, fait naître dans le public une image défavorable de la personne physique ou morale visée, et la place sous un jour équivoque. En outre, il faut que la relation des faits par l'entreprise de médias soit différente de la version donnée par la personne concernée. Le droit de réponse ne saurait donc être accordé lorsque le requérant tente uniquement de préciser la présentation de faits litigieuse ou de l'accentuer autrement (TF 5C.63/2006 précité consid. 2.1 et les réf. citées). La personne est aussi touchée lorsque l’information est exacte mais incomplète, sortie de son contexte ou taisant des éléments essentiels (Steinauer/Fountoulakis, op. cit., nn. 639 ss ; Guillod, loc. cit. ; Bohnet, op. cit., § 3 n. 2). La réponse n'existe en outre qu'en ce qui concerne la présentation de faits , soit de quelque chose qui est susceptible d'être prouvé, à l'exclusion des commentaires, opinions ou jugements de valeur, qui reposent sur une appréciation subjective. Il est parfois difficile de procéder à cette distinction. On entend par faits tout ce qui se produit dans la réalité et peut théoriquement être l'objet d'une observation ; il s'agit donc de quelque chose de perceptible, susceptible d'être objectivement établi, contrairement à l'opinion qui relève de la pensée ou des sentiments de l'individu. Il faut tenir compte à cet égard de la manière dont l'information en question est perçue par la grande majorité des destinataires de la diffusion (TF 5C.63/2006 précité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