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1131 vom 20. Dezember 2018</w:t>
      </w:r>
    </w:p>
    <w:p>
      <w:r>
        <w:t>VD Tribunal cantonal, 2018-12-20, FR</w:t>
      </w:r>
    </w:p>
    <w:p>
      <w:r>
        <w:rPr>
          <w:b/>
        </w:rPr>
        <w:t xml:space="preserve">Quelle: </w:t>
      </w:r>
      <w:r>
        <w:t>https://mcp.opencaselaw.ch/entscheid/vd_findinfo_HC___2018___1131</w:t>
      </w:r>
    </w:p>
    <w:p>
      <w:r>
        <w:t>FR: VD_FINDINFO HC / 2018 / 1131 du 20 décembre 2018</w:t>
      </w:r>
    </w:p>
    <w:p>
      <w:r>
        <w:t>IT: VD_FINDINFO HC / 2018 / 1131 del 20 dicembre 2018</w:t>
      </w:r>
    </w:p>
    <w:p>
      <w:pPr>
        <w:pStyle w:val="Heading2"/>
      </w:pPr>
      <w:r>
        <w:t>Regeste</w:t>
      </w:r>
    </w:p>
    <w:p>
      <w:r>
        <w:t>CULPA IN CONTRAHENDO, VICE DU CONSENTEMENT, ERREUR ESSENTIELLE, DOL PRINCIPAL | 23 CO, 24 al. 1 ch. 4 CO, 28 CO, 308 al. 1 let. a CPC (CH), 311 al. 1 CPC (CH)</w:t>
      </w:r>
    </w:p>
    <w:p>
      <w:pPr>
        <w:pStyle w:val="Heading2"/>
      </w:pPr>
      <w:r>
        <w:t>Erwägungen</w:t>
      </w:r>
    </w:p>
    <w:p>
      <w:r>
        <w:rPr>
          <w:b/>
        </w:rPr>
        <w:t>E. 1.1</w:t>
      </w:r>
    </w:p>
    <w:p>
      <w:r>
        <w:t>L'appel est recevable contre les décisions finales de première instance (art. 308 al. 1 let. a CPC), dans les causes patrimoniales dont la valeur litigieuse, au dernier état des conclusions, est de 10'000 fr. au moins (art. 308 al. 2 CPC). L'appel, écrit et motivé, doit être introduit dans les 30 jours à compter de la notification de la décision motivée ou de la notification postérieure de la motivation (art. 311 al. 1 CPC).</w:t>
      </w:r>
    </w:p>
    <w:p>
      <w:r>
        <w:rPr>
          <w:b/>
        </w:rPr>
        <w:t>E. 1.2</w:t>
      </w:r>
    </w:p>
    <w:p>
      <w:r>
        <w:t>En l'espèce, formé en temps utile par une partie qui a un intérêt digne de protection (art. 59 al. 2 let. a CPC) et portant sur des conclusions supérieures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(JdT 2011 III 43 consid. 2 et les réf. citées ; Jeandin, op. cit., n. 6 ad art. 310 CPC).</w:t>
      </w:r>
    </w:p>
    <w:p>
      <w:r>
        <w:rPr>
          <w:b/>
        </w:rPr>
        <w:t>E. 3.1</w:t>
      </w:r>
    </w:p>
    <w:p>
      <w:r>
        <w:t>Selon l’art. 311 al. 1 CPC, l’appel doit être motivé, soit démontrer le caractère erroné de la motivation attaquée. L’appelant a ainsi le fardeau d’expliquer les motifs pour lesquels la décision attaquée doit être annulée ou modifiée, par référence à l’un et/ou l’autre des motifs prévus à l’art. 310 CPC. Pour ce faire, il ne lui suffit pas de renvoyer aux motifs soulevés en première instance. La motivation doit être suffisamment explicite pour que l'instance d'appel puisse la comprendre aisément, ce qui suppose une désignation précise des passages de la décision que l'appelant attaque et des pièces du dossier sur lesquelles repose sa critique. Si la motivation présentée par le recourant n'est pas suffisante, l'autorité cantonale n'entre pas en matière sur l'appel (ATF 138 III 374 consid. 4.3.1 ; TF 5A_503/2018 du 25 septembre 2018 consid. 6.3 ; TF 4A_97/2014 du 26 juin 2014 consid. 3.3).</w:t>
      </w:r>
    </w:p>
    <w:p>
      <w:r>
        <w:rPr>
          <w:b/>
        </w:rPr>
        <w:t>E. 3.2</w:t>
      </w:r>
    </w:p>
    <w:p>
      <w:r>
        <w:t>En l’espèce, il convient à titre préalable de constater que l’appelante ne formule aucun argument contre le rejet par les premiers juges de ses prétentions dirigées contre l’intimée V.________SA. A défaut de motivation, son appel ne peut qu’être déclaré irrecevable en tant qu’il conclut à la condamnation de celle-ci.</w:t>
      </w:r>
    </w:p>
    <w:p>
      <w:r>
        <w:rPr>
          <w:b/>
        </w:rPr>
        <w:t>E. 4.1</w:t>
      </w:r>
    </w:p>
    <w:p>
      <w:r>
        <w:t>L’appelante invoque une constatation inexacte des faits. Elle reproche aux premiers juges d’avoir retenu sur la base des déclarations des parties et témoins que B.________SA ne pouvait pas savoir que le véhicule serait utilisé essentiellement pour des petits trajets. Même si son mari avait fait part au moment de la négociation du contrat de son souhait d’acheter un véhicule pour emmener son fils au football, pour aller en week-end à la montagne et à l’étranger durant les vacances, A.Z.________ et R.________ auraient dû savoir que le véhicule servirait également durant la semaine pour des petits trajets.</w:t>
      </w:r>
    </w:p>
    <w:p>
      <w:r>
        <w:rPr>
          <w:b/>
        </w:rPr>
        <w:t>E. 4.2</w:t>
      </w:r>
    </w:p>
    <w:p>
      <w:r>
        <w:t>En l'absence d'une disposition spéciale instituant une présomption, l'art. 8 CC répartit le fardeau de la preuve pour toutes les prétentions fondées sur le droit fédéral et détermine, sur cette base, laquelle des parties doit assumer les conséquences de l'échec de la preuve. Il en résulte que la partie demanderesse doit prouver les faits qui fondent sa prétention, tandis que la partie adverse doit prouver les faits qui entraînent l'extinction ou la perte du droit (ATF 139 III 7 consid. 2.2 et les réf. citées).</w:t>
      </w:r>
    </w:p>
    <w:p>
      <w:r>
        <w:rPr>
          <w:b/>
        </w:rPr>
        <w:t>E. 4.3</w:t>
      </w:r>
    </w:p>
    <w:p>
      <w:r>
        <w:t>En l’espèce, l’appelante soutient que l’intimée B.________SA aurait dû savoir au moment de la vente que le véhicule litigieux serait utilisé essentiellement pour des petits trajets. Les éléments que l’appelante invoque ne permettent pas de retenir le fait dont elle entend se prévaloir. Tout d’abord, la question n’est pas de savoir si des personnes au sein du garage, étrangères à la vente et à sa négociation, savaient ceci ou cela, notamment où habitait et travaillait le mari de l’appelante. Il convient de déterminer ce que savait ou aurait dû savoir la personne au sein de cette société qui a participé aux pourparlers et à la vente du véhicule, à ce moment, soit la personne qui pouvait devoir donner des conseils à l’appelante quant au véhicule à choisir, l’appelante ayant quant à elle été à cette occasion représentée par son mari. En l’état, la vente a été discutée et conclue par A.Z.________, représentant de l’intimée B.________SA lors de la procédure. Tel n’est en revanche pas le cas du témoin R.________ qui n’était pas vendeur au sein du garage et n’a pas participé aux pourparlers avant l’achat. S’agissant ensuite de l’utilisation du véhicule, ce n’est pas l’utilisation qui a finalement été faite du véhicule qui est déterminante, mais l’utilisation envisagée et indiquée au moment des négociations, telle que les parties l’ont comprise à ce moment-là. Or il ressort des déclarations du mari de l’appelante lui-même que l’automobile devait servir pour véhiculer le fils du couple au football, notamment aux différents matchs auxquels il participait et qui se déroulaient « dans toute la Suisse », imposant des distances qui pouvaient être de plusieurs centaines de kilomètres. L’idée de l’achat du véhicule était également, selon le mari de l’appelante, de voyager en France, en Italie ou à la montagne. B.Y.________ a précisé qu’après avoir essayé un modèle V.M.________, il avait parlé de l’utilisation du véhicule avec A.Z.________ et c’est à cette occasion qu’il lui avait dit que son but était de partir en vacances et qu’il avait mentionné les projets ci-dessus. A.Z.________ a confirmé ces propos puisqu’il a déclaré qu’B.Y.________ lui avait dit spontanément qu’il était souvent en déplacement avec son fils pour le foot et qu’il voulait un 4x4 pour la montagne. Enfin, l’appelante elle-même a déclaré lors de son audition que leur souhait était d’utiliser ce véhicule pour partir en week-end, à la montagne ou à l’étranger. Pour le surplus, que le véhicule soit inscrit au nom de l’appelante, qu’il soit conduit par elle ou par son mari ne change rien au fait que l’utilisation annoncée était claire : il s’agissait de partir régulièrement dans toute la Suisse pour des matchs, ainsi qu’à la montagne et à l’étranger pendant les week-ends et durant les vacances. L’appelante invoque le fait que son mari aurait parlé avec A.Z.________ et R.________ lors de la vente de la question des petits trajets et de l’adéquation pour ceux-ci d’un moteur Diesel et qu’il aurait été rassuré par ces derniers. Ces faits, et notamment le fait que la discussion aurait eu lieu entre le mari de l’appelante et une personne participant au sein du garage au choix du véhicule, ne sont pas établis à satisfaction de droit : invoqué tardivement dans la procédure, ce fait a été confirmé uniquement par le mari de l’appelante. Or ses déclarations doivent être examinées avec réserve au vu de ses liens avec l’appelante et ne peuvent être retenues que si elles sont corroborées par d’autres éléments, ce qui n’est pas le cas en l’espèce. En effet, A.Z.________ a indiqué qu’il ne se souvenait plus si B.Y.________ lui avait fait part de ses réticences quant à un véhicule Diesel mais que, par rapport à l’usage qu’il avait dit vouloir en faire, ce type de véhicule paraissait parfaitement adapté. Quant à R.________, qui n’était pas en charge de la vente, il a également déclaré ne pas se souvenir si le mari de l’appelante lui avait communiqué ses réticences pour l’achat d’un Diesel. Il a indiqué qu’il n’avait jamais dit à B.Y.________ que son épouse faisait de petits trajets et qu’elle ne rencontrait pas de problèmes. Au demeurant, si ce point était établi, cela ne changerait rien au fait qu’il n’est pas prouvé que le mari de l’appelante aurait mentionné, lors des négociations en vue de la vente, qu’il comptait utiliser le véhicule pour des petits trajets en sus des usages précités, et encore moins qu’il comptait l’utiliser essentiellement pour des petits trajets. On ne peut d’ailleurs que s’étonner que la problématique de l’adéquation de véhicules Diesel avec des petits trajets ait été prétendument abordée de manière générale, sans que le mari de l’appelante profite de l’occasion pour préciser que le véhicule souhaité allait être utilisé pour de tels trajets quotidiennement. Une telle attitude, si elle avait été avérée, aurait encore renforcé l’apparence pour la personne en charge des pourparlers que le véhicule ne serait pas utilisé – ou à tout le moins pas essentiellement – pour de tels courts trajets. Pour le surplus, qu’A.Z.________, représentant de l’intimée, ait pu savoir où l’appelante et sa famille habitaient et pour quelle entreprise le mari travaillait ne permet pas de conclure qu’il aurait su ou dû savoir que ce dernier, malgré les déclarations précitées, avait l’intention d’utiliser ce véhicule pour faire principalement les trajets entre son domicile et son travail deux fois par jour. Ce que le personnel du garage aurait par la suite appris est sans pertinence pour déterminer ce que le garage – par son vendeur – savait au moment de la vente. Il s’ensuit que le grief de constatation inexacte des faits est infondé. Il apparaît au contraire au vu des déclarations claires du mari de l’appelante lors des pourparlers, qui ressortent de l’audition de l’appelante, de son mari et d’A.Z.________, que l’intimée B.________SA – par son représentant chargé de la négociation et de la vente – pouvait comprendre que le véhicule recherché ne devait pas être utilisé principalement pour des petits trajets, mais au contraire pour effectuer régulièrement, voire principalement, de longs trajets permettant la régénération du moteur Diesel.</w:t>
      </w:r>
    </w:p>
    <w:p>
      <w:r>
        <w:rPr>
          <w:b/>
        </w:rPr>
        <w:t>E. 5.1</w:t>
      </w:r>
    </w:p>
    <w:p>
      <w:r>
        <w:t>L’appelante reproche également aux premiers juges de ne pas avoir examiné la question de la culpa in contrahendo et d’avoir mal appliqué les art. 23 et 24 al. 1 ch. 4 CO. Elle fait valoir que la vendeuse aurait dû mieux se renseigner auprès de l’acheteuse sur ses besoins et la conseiller en conséquence. La vendeuse aurait failli à son devoir de renseignement, ce qui permettrait à l’appelante d’invoquer l’erreur essentielle : cette dernière soutient en effet qu’elle ne connaissait pas l’incompatibilité entre le véhicule acheté et l’usage prévu. A titre subsidiaire, l’appelante soutient également qu’il y aurait eu dol de la part de l’intimée B.________SA dans la mesure où l’incompatibilité des moteurs Diesel avec les courts trajets n’aurait jamais été abordée spontanément par la vendeuse tout au long des discussions alors même fait qu’elle aurait fait l’objet d’interrogations de l’époux de l’appelante.</w:t>
      </w:r>
    </w:p>
    <w:p>
      <w:r>
        <w:rPr>
          <w:b/>
        </w:rPr>
        <w:t>E. 5.2.1</w:t>
      </w:r>
    </w:p>
    <w:p>
      <w:r>
        <w:t>Aux termes de l’art. 23 CC, le contrat n’oblige pas celle des parties qui, au moment de le conclure, était dans une erreur essentielle. L’erreur est notamment essentielle lorsque l’erreur porte sur des faits que la loyauté commerciale permettait à celui qui se prévaut de son erreur de considérer comme des éléments nécessaires du contrat (art. 24 al. 1 ch. 4 CO). Pour que l'erreur soit essentielle au sens de l'art. 24 al. 1 ch. 4 CO, il faut tout d'abord qu'elle porte sur un fait subjectivement essentiel : en se plaçant du point de vue de la partie qui était dans l'erreur, il faut que l'on puisse admettre que subjectivement son erreur l'a effectivement déterminée à conclure le contrat ou à le conclure aux conditions convenues. Il faut ensuite qu'il soit justifié de considérer le fait sur lequel porte l'erreur comme objectivement un élément essentiel du contrat : il faut que le cocontractant puisse se rendre compte, de bonne foi, que l'erreur de la victime porte sur un fait qui était objectivement de nature à la déterminer à conclure le contrat ou à le conclure aux conditions convenues (ATF 136 III 528 consid. 3.4.1 ; ATF 135 III 537 consid. 2.2 ; TF 4A_249/2017 du 8 décembre 2017 consid. 3.2). Pour une contestation selon l'art. 24 al. 1 ch. 4 CO, même une erreur due à une négligence conduit en principe à l'annulabilité du contrat ; toutefois, en application des règles de la bonne foi, on doit tirer certaines conclusions du comportement de chaque partie ; si une partie ne se soucie pas, lors de la conclusion du contrat, d'éclaircir une question particulière, bien qu'elle se pose manifestement, l'autre partie peut en déduire que ce point est sans importance pour son cocontractant en vue de la conclusion du contrat (ATF 129 III 363 consid. 5.3 ; TF 5A_337/2013 du 23 octobre 2013 consid. 5.2.2.1 ; TF 4A_316/2008 du 3 octobre 2008 consid. 3.1). Ainsi, l' errans ne peut invoquer le fait ignoré indispensable, à savoir qu'il considérait comme une véritable condition sine qua non pour sa décision, lorsqu'il ne s'est pas préoccupé, au moment de conclure, d'éclaircir une question qui se posait manifestement en rapport avec ce fait déterminé (ATF 129 III 363 consid. 5.3 ; TF 5A_337/2013 du 23 octobre 2013 consid. 5.2.2.2). Savoir si et dans quelle mesure une partie se trouve dans l'erreur au moment où elle manifeste une volonté relève du fait ; apprécier si l'erreur constatée est essentielle au sens de l'art. 24 al. 1 ch. 4 CO relève du droit (ATF 135 III 537 consid. 2.2 ; TF 4A_249/2017 du 8 décembre 2017 consid. 3.2).</w:t>
      </w:r>
    </w:p>
    <w:p>
      <w:r>
        <w:rPr>
          <w:b/>
        </w:rPr>
        <w:t>E. 5.2.2</w:t>
      </w:r>
    </w:p>
    <w:p>
      <w:r>
        <w:t>En l’espèce, il ressort de manière détaillée de l’expertise qu’un moteur Diesel doit avoir la possibilité de fonctionner assez longtemps pour atteindre une température suffisante pour que le processus de régénération du filtre à particules puisse avoir lieu. En effet, des particules fines sont produites par le moteur et sont retenues dans le filtre à particules. Afin que ce filtre ne soit pas bouché, les particules doivent être brûlées, ce qui nécessite que le moteur atteigne une haute température. C’est le phénomène de régénération. Un véhicule effectuant généralement des petits trajets a de grandes chances que son moteur soit arrêté avant d’avoir atteint les températures nécessaires à la régénération et, partant, au bon fonctionnement de celui-ci.</w:t>
      </w:r>
    </w:p>
    <w:p>
      <w:r>
        <w:rPr>
          <w:b/>
        </w:rPr>
        <w:t>E. 5.2.3</w:t>
      </w:r>
    </w:p>
    <w:p>
      <w:r>
        <w:t>L’appelante soutient avoir cru à tort, lors des discussions précontractuelles et de la vente, que le véhicule envisagé était adapté à l’usage qu’elle comptait en faire, soit essentiellement des courts trajets. Or tel n’était pas le cas au vu de la motorisation Diesel du véhicule. Il est toutefois établi que l’appelante, par son mari, a indiqué au vendeur A.Z.________ que le véhicule désiré devait servir à amener le fils du couple à ses entraînement et matchs à travers toute la Suisse, ainsi qu’à partir en week-end et en vacances en Suisse et à l’étranger. On ne peut qu’en déduire que l’appelante désirait, au moment de l’achat, un véhicule adapté à cet usage. Le véhicule V.M.________ équipé d’un moteur Diesel répondait manifestement à cette attente puisque les longs trajets réguliers – le cas échéant alternant avec les courts trajets – auraient permis la régénération du moteur. L’appelante soutient désormais qu’elle n’aurait pas acheté le véhicule si elle avait su qu’il n’était pas adapté aux petits trajets, ce qui correspond à l’utilisation qui a finalement été celle du véhicule litigieux. Force est toutefois de constater que l’appelante, par le biais de son mari, soit n’a pas indiqué lors des négociations du véhicule la véritable utilisation qu’elle comptait en faire, soit a changé d’avis à la suite de cet achat. Or les preuves administrées durant la procédure ne permettent pas d’établir que bien que déclarant vouloir faire régulièrement des trajets plutôt longs à très longs (permettant une régénération régulière), l’appelante, via son mari, aurait voulu en réalité, lors de l’achat, utiliser ce véhicule uniquement ou quasi uniquement pour de courts trajets et donc acheter un véhicule pour ce dernier usage. Une erreur de sa part au moment des négociations et de la conclusion du contrat sur ces points ne saurait dans ces circonstances être retenue.</w:t>
      </w:r>
    </w:p>
    <w:p>
      <w:r>
        <w:rPr>
          <w:b/>
        </w:rPr>
        <w:t>E. 5.2.4</w:t>
      </w:r>
    </w:p>
    <w:p>
      <w:r>
        <w:t>Au demeurant, au vu des déclarations du mari de l’appelante sur l’usage souhaité, il n’est pas établi qu’au moment de l’achat, le fait que le véhicule soit approprié pour faire principalement des petits trajets ait été subjectivement essentiel pour l’appelante. A cela s’ajoute encore qu’une erreur de l’appelante quant à l’adéquation du véhicule à l’usage auquel il était destiné n’était pas reconnaissable pour le vendeur selon les règles de la bonne foi, vu les affirmations du mari de l’appelante. Même si l’erreur était admise, son caractère essentiel aurait fait défaut, que ce soit subjectivement ou objectivement, excluant ainsi l’application des art. 23 et 24 CO. Le contrat de vente ne saurait dès lors être invalidé en vertu de ces dispositions.</w:t>
      </w:r>
    </w:p>
    <w:p>
      <w:r>
        <w:rPr>
          <w:b/>
        </w:rPr>
        <w:t>E. 5.3.1</w:t>
      </w:r>
    </w:p>
    <w:p>
      <w:r>
        <w:t>Aux termes de l’art. 28 CO, la partie induite à contracter par le dol de l’autre n’est pas obligée, même si son erreur n’est pas essentielle (al. 1). La partie qui est victime du dol d’un tiers demeure obligée, à moins que l’autre partie n’ait connu ou dû connaître le dol lors de la conclusion du contrat (al. 2). Le dol est une tromperie intentionnelle de la victime par l’auteur. Il peut être commis aussi bien par une affirmation inexacte que par le silence relatif à un fait que l'auteur avait le devoir de révéler (Gauch/Schluep/Schmid/Emmeneger, Schweizerisches Obligationenrecht, Allgemeiner Teil, 10 e éd. 2014, nn. 858 ss pp. 195 ss). La notion même de dol, considérée au cours des pourparlers précédant la conclusion du contrat, est appréhendée, selon les circonstances, dans des perspectives différentes par la jurisprudence (ATF 121 III 350 consid. 6c). Ainsi, celui qui se tait sur des faits que la loyauté en affaires exigeait qu'il indiquât (obligation de renseigner) à l'autre partie déjà lors de pourparlers précédant la conclusion du contrat, avec pour effet que cette partie se trouve dans une erreur essentielle (art. 24 al. 1 ch. 4 CO), commet un dol (ATF 113 II 25 consid. 1). Agit également par dol, même en l'absence d'erreur essentielle de l'autre partie (art. 28 al. 1 in fine CO), celui qui, de manière générale, dissimule des faits alors qu'il avait l'obligation juridique de renseigner celle-ci. Une obligation de renseigner existe dans le cadre de pourparlers contractuels car il existe un rapport de confiance qui oblige les parties à se renseigner l'une l'autre de bonne foi, dans une certaine mesure, sur les faits qui sont de nature à influer sur la décision de l'autre partie de conclure le contrat ou de le conclure à certaines conditions (ATF 106 II 346 consid. 4a ; ATF 105 II 75 consid. 2a ; TF 4C.202/2002 du 30 octobre 2002 consid. 3.1 ; sur les fondements d'une obligation de renseigner en général, cf. ATF 117 II 282 consid. 6a ; TF 4A_28/2007 du 30 mai 2007 consid. 2.2, non publié aux ATF 133 III 421). L'étendue du devoir d'information des parties ne peut pas être déterminée de façon générale, mais dépend des circonstances du cas particulier, notamment de la nature du contrat, de la manière dont les pourparlers se sont déroulés, de même que des intentions et des connaissances des participants (ATF 116 II 431 consid. 3a ; ATF 105 II 75 consid. 2a ; TF 4C.202/2002 précité consid. 3.1). Ainsi, entre les futures parties au contrat, les règles de la bonne foi commandent la conduite des pourparlers, dont l'ouverture crée déjà une relation juridique entre les interlocuteurs, et leur imposent des devoirs réciproques. Au nombre de ceux-ci figurent l'obligation de négocier sérieusement, conformément à ses véritables intentions, et celle de fournir des renseignements à l'autre partie, propres à influer sa décision de conclure, le cas échéant à des conditions déterminées (ATF 121 III 350 consid. 6c ; ATF 105 II 75 consid. 2a ; TF 4A_28/2007 du 30 mai 2007 consid. 2.2 ; sur le tout, TF 4A_285/2017 du 3 avril 2018 consid. 6.1). Il incombe à celui qui invoque un dol d'apporter la preuve qu'il y a eu tromperie et que celle-ci l'a déterminée à contracter (TF 4A_285/2017 du 3 avril 2018 consid. 6.1 et les réf. citées).</w:t>
      </w:r>
    </w:p>
    <w:p>
      <w:r>
        <w:rPr>
          <w:b/>
        </w:rPr>
        <w:t>E. 5.3.2</w:t>
      </w:r>
    </w:p>
    <w:p>
      <w:r>
        <w:t>Compte tenu des affirmations du mari de l’appelante lors des pourparlers, on ne saurait reprocher au représentant de l’intimée B.________SA de n’avoir pas informé son cocontractant que le véhicule envisagé n’était pas indiqué pour une utilisation que non seulement celui-là n’avait pas mentionnée mais qu’il avait au surplus exclue de facto en indiquant vouloir faire régulièrement de longs trajets. En effet, dans le cas présent, l’inadéquation d’un moteur Diesel pour des trajets exclusivement de brève durée ne constituait pas un fait que la loyauté en affaires exigeait que la vendeuse mentionne. Les parties n’ont pas un devoir de renseignement général. Elles doivent se renseigner mutuellement sur les faits qui sont de nature à influer sur la décision de conclure ; le devoir d’information dépend des circonstances du cas particulier, notamment des intentions et des connaissances des participants. En l’espèce, au vu des déclarations claires du mari de l’appelante sur l’utilisation envisagée du véhicule, la vendeuse n’avait pas à donner des informations sur une autre utilisation que celle qui était annoncée. Vu les circonstances, une éventuelle tromperie et son caractère intentionnel font totalement défaut. Le contrat ne saurait donc être invalidé en application de l’art. 28 CO.</w:t>
      </w:r>
    </w:p>
    <w:p>
      <w:r>
        <w:rPr>
          <w:b/>
        </w:rPr>
        <w:t>E. 5.4.1</w:t>
      </w:r>
    </w:p>
    <w:p>
      <w:r>
        <w:t>La culpa in contrahendo repose sur l’idée que l’ouverture de pourparlers crée déjà une relation juridique entre partenaires et leur impose des devoirs réciproques, soit en particulier celui de négocier sérieusement, conformément à leurs véritables intentions (TF 4A_202/2011 du 16 juin 2011 consid. 2.2). Il appartient ainsi à chaque partie de renseigner l’autre, dans une certaine mesure, sur les circonstances propres à influencer sa décision de conclure le contrat, ou de le conclure à des conditions déterminées (TF 4A_229/2014 du 19 septembre 2014 consid. 4.1 et les réf. citées). Lorsque la violation du devoir d’information a lieu avant la conclusion d’un contrat litigieux, mais que finalement ce contrat a été conclu, la responsabilité contractuelle absorbe la responsabilité précontractuelle, qui est de nature subsidiaire (TF 5C.230/2006 du 22 octobre 2007 consid. 6.2 et les réf. citées).</w:t>
      </w:r>
    </w:p>
    <w:p>
      <w:r>
        <w:rPr>
          <w:b/>
        </w:rPr>
        <w:t>E. 5.4.2</w:t>
      </w:r>
    </w:p>
    <w:p>
      <w:r>
        <w:t>En l’espèce, le contrat de vente a été conclu et, comme on l’a vu, il est valable puisqu’il ne peut pas être invalidé en application des art. 23 ss CO. Une responsabilité pour culpa in contrahendo n’entre dès lors pas en considération. Au demeurant, comme déjà exposé, vu les affirmations du mari de l’appelante lors des discussions précontractuelles, l’intimée n’avait pas à l’informer que le véhicule envisagé n’était pas adapté à une utilisation qu’il n’avait pas déclaré souhaiter. Enfin, il est relevé que l’appelante ne conteste pas l’appréciation des premiers juges selon lesquelles les droits qui auraient pu résulter d’une responsabilité contractuelle de B.________SA sont prescrits.</w:t>
      </w:r>
    </w:p>
    <w:p>
      <w:r>
        <w:rPr>
          <w:b/>
        </w:rPr>
        <w:t>E. 5.5</w:t>
      </w:r>
    </w:p>
    <w:p>
      <w:r>
        <w:t>Il résulte de ce qui précède que la responsabilité précontractuelle de B.________SA n’est pas engagée et que le contrat de vente ne peut pas être invalidé pour vice du consentement. Pour le surplus, l’appelante ne fournit aucune motivation à l’appui de ses conclusions en paiement de dommages-intérêts et en remboursement des frais d’expertise. Son appel est ainsi mal fondé.</w:t>
      </w:r>
    </w:p>
    <w:p>
      <w:r>
        <w:rPr>
          <w:b/>
        </w:rPr>
        <w:t>E. 6.1</w:t>
      </w:r>
    </w:p>
    <w:p>
      <w:r>
        <w:t>En définitive, l’appel doit être rejeté dans la mesure où il est recevable selon le mode procédural de l'art. 312 al. 1 CPC et le jugement entrepris confirmé. Les frais judiciaires de deuxième instance, arrêtés à 1’478 fr. (art. 62 al. 1 TFJC [tarif des frais judiciaires civils du 28 septembre 2010; RSV 270.11.5]), seront mis à la charge de l'appelante, qui succombe (art. 106 al. 1 CPC), mais assumés provisoirement par l’Etat (art. 122 al. 1 let. b CPC).</w:t>
      </w:r>
    </w:p>
    <w:p>
      <w:r>
        <w:rPr>
          <w:b/>
        </w:rPr>
        <w:t>E. 6.2</w:t>
      </w:r>
    </w:p>
    <w:p>
      <w:r>
        <w:t>Me Marc-Antoine Aubert, conseil d’office de l’appelante, a droit à une rémunération équitable pour ses opérations et débours dans la procédure d’appel (art. 122 al. 1 let. a CPC). Il a produit le 21 novembre 2018 une liste d’opérations selon laquelle il a consacré 10 heures à la procédure d’appel et encouru des débours à hauteur de 27 fr. 50. Le temps invoqué apparaît adéquat et peut être admis, de sorte que l'indemnité d'office due à Me Aubert, calculée au tarif horaire de 180 fr. (art. 2 al. 1 let. a RAJ [Règlement sur l'assistance judiciaire en matière civile ; RSV 211.02.3]), doit être arrêtée à 1’800 fr. pour ses honoraires, plus 138 fr. 60 de TVA au taux de 7.7% et un montant de 29 fr. 60, TVA comprise, pour ses débours, soit une indemnité totale de 1'968 fr. 20. La bénéficiaire de l’assistance judiciaire est, dans la mesure de l’art. 123 CPC, tenue au remboursement des frais judiciaire et de l’indemnité de son conseil d’office mis à la charge de l’Etat. Il n’a y pas lieu à l’allocation de dépens, les intimées n’ayant pas été invitées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