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1111 vom 21. November 2018</w:t>
      </w:r>
    </w:p>
    <w:p>
      <w:r>
        <w:t>VD Tribunal cantonal, 2018-11-21, FR</w:t>
      </w:r>
    </w:p>
    <w:p>
      <w:r>
        <w:rPr>
          <w:b/>
        </w:rPr>
        <w:t xml:space="preserve">Quelle: </w:t>
      </w:r>
      <w:r>
        <w:t>https://mcp.opencaselaw.ch/entscheid/vd_findinfo_HC___2018___1111</w:t>
      </w:r>
    </w:p>
    <w:p>
      <w:r>
        <w:t>FR: VD_FINDINFO HC / 2018 / 1111 du 21 novembre 2018</w:t>
      </w:r>
    </w:p>
    <w:p>
      <w:r>
        <w:t>IT: VD_FINDINFO HC / 2018 / 1111 del 21 novembre 2018</w:t>
      </w:r>
    </w:p>
    <w:p>
      <w:pPr>
        <w:pStyle w:val="Heading2"/>
      </w:pPr>
      <w:r>
        <w:t>Regeste</w:t>
      </w:r>
    </w:p>
    <w:p>
      <w:r>
        <w:t>RÉCUSATION, JUGE DE PAIX, CURATELLE, ERREUR | 47 al. 1 let. f CPC (CH), 50 al. 2 CPC (CH)</w:t>
      </w:r>
    </w:p>
    <w:p>
      <w:pPr>
        <w:pStyle w:val="Heading2"/>
      </w:pPr>
      <w:r>
        <w:t>Erwägungen</w:t>
      </w:r>
    </w:p>
    <w:p>
      <w:r>
        <w:rPr>
          <w:b/>
        </w:rPr>
        <w:t>E. 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RSV 211.02], 73 al. 1 LOJV [loi vaudoise du 12 septembre 1979 d'organisation judiciaire ; RSV 173.01] et 18 al. 1 ROTC [règlement organique du Tribunal cantonal du 13 novembre 2007; RSV 173.31.1]). Le délai de recours est de dix jours (art. 321 al. 2 CPC ; Tappy, CPC commenté, Bâle 2011, nn. 21 et 32 ad art. 50 CPC). En l’espèce, interjeté en temps utile par une personne qui dispose d’un intérêt digne de protection (art. 59 al. 2 let. a CPC), le recours est, à cet égard, recevable.</w:t>
      </w:r>
    </w:p>
    <w:p>
      <w:r>
        <w:rPr>
          <w:b/>
        </w:rPr>
        <w:t>E. 2.1.1</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2.1.2</w:t>
      </w:r>
    </w:p>
    <w:p>
      <w:r>
        <w:t>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op. cit., n. 3 ad art. 311 CPC et n. 4 ad art. 321 CPC). A défaut de motivation suffisante, le recours est irrecevable (TF 4A_101/2014 du 26 juin 2014 consid. 3.3 ; TF 4A_651/2012 du 7 février 2013 consid. 4.2).</w:t>
      </w:r>
    </w:p>
    <w:p>
      <w:r>
        <w:rPr>
          <w:b/>
        </w:rPr>
        <w:t>E. 2.1.3</w:t>
      </w:r>
    </w:p>
    <w:p>
      <w:r>
        <w:t>En l’espèce, la recourante a notamment requis la récusation du Président du Tribunal cantonal. Cette conclusion et les griefs y relatifs, dans la mesure où ils n’ont pas fait l’objet de l’arrêt querellé, sont irrecevables dans le cadre du présent recours dirigé contre l’arrêt de la Cour administrative du 12 novembre 2018. En outre, la question de savoir si le recours rempli les exigences de motivation peut demeurer indécise, le recours devant être rejeté pour les motifs exposés ci-dessous (cf. consid. 3).</w:t>
      </w:r>
    </w:p>
    <w:p>
      <w:r>
        <w:rPr>
          <w:b/>
        </w:rPr>
        <w:t>E. 2.2</w:t>
      </w:r>
    </w:p>
    <w:p>
      <w:r>
        <w:t>Selon l'art. 326 al. 1 CPC, les conclusions, les allégations de faits et les preuves nouvelles sont irrecevables. Dans la mesure où les pièces produites à l’appui du recours figurent au dossier de première instance, elles sont recevables.</w:t>
      </w:r>
    </w:p>
    <w:p>
      <w:r>
        <w:rPr>
          <w:b/>
        </w:rPr>
        <w:t>E. 3.1</w:t>
      </w:r>
    </w:p>
    <w:p>
      <w:r>
        <w:t>La recourante revient principalement sur l’approbation, le 11 juillet 2014, par la magistrate intimée du compte établi par son premier curateur ; selon la recourante, il s’agirait « sans équivoque d’un faux dans les titres », le « crime » de son curateur étant de notoriété publique. Pour ce motif, la récusation de la magistrate intimée qui aurait « détruit sans scrupules [sa] vie » devrait être prononcée.</w:t>
      </w:r>
    </w:p>
    <w:p>
      <w:r>
        <w:rPr>
          <w:b/>
        </w:rPr>
        <w:t>E. 3.2</w:t>
      </w:r>
    </w:p>
    <w:p>
      <w:r>
        <w:t>La garantie d'un tribunal indépendant et impartial, résultant des art. 30 al. 1 Cst. (Constitution fédérale de la Confédération suisse du 18 avril 1999 ; RS 101) et</w:t>
      </w:r>
    </w:p>
    <w:p>
      <w:r>
        <w:rPr>
          <w:b/>
        </w:rPr>
        <w:t>E. 3.3</w:t>
      </w:r>
    </w:p>
    <w:p>
      <w:r>
        <w:t>En l’espèce, la situation de la recourante a certes fait l’objet d’un article de presse. Cette publication ne suffit toutefois pas à rendre vraisemblable que le décompte approuvé par la juge de paix – au demeurant avant ladite publication – serait un « faux dans les titres », ni qu’il aurait été approuvé à tort. La recourante disposait d’ailleurs de voies de droit pour contester cette décision, dont elle a d’ailleurs fait usage. Elle ne saurait donc revenir sur cette décision de la magistrate intimée par la voie d’une demande de récusation. En outre, dans la mesure où la décision d’approbation est intervenue il y a plus de quatre ans, on peut s’interroger sur la tardiveté de ce grief ; cette question peut toutefois demeurer indécise, le recours devant être rejeté pour le motif suivant. Quand bien même il serait rendu vraisemblable que le décompte aurait été approuvé à tort, cela ne serait pas encore suffisant pour établir la prévention de la magistrate. La recourante ne démontre en effet pas que les circonstances corroboreraient objectivement une apparence de prévention. Elle se contente en effet de dire que les éléments du dossier et la notoriété publique du crime du curateur à ses frais démontreraient que le « faux inventaire » constituerait effectivement un faux dans les titres. Elle n'explique toutefois pas en quoi l'approbation du décompte du curateur par la juge de paix serait l'écho d'une prévention de la magistrate à son égard. Elle n'avance aucune circonstance qui objectivement viendrait corroborer l'apparence de prévention. En définitive, c’est à juste titre que les premiers juges ont considéré que la recourante n’avait apporté aucun élément de nature à démontrer que le comportement adopté par la magistrate intimée serait de nature à fonder un motif de prévention. 4. En définitive, dans la mesure où il est recevable, le recours doit être rejeté, en application de l’art. 322 al. 1 CPC, et la décision attaquée confirmée. L’arrêt peut être rendu sans frais (art. 6 al. 3 TFJC [tarif des frais judiciaires civils du 28 septembre 2010 ; RSV 270.11.5]). Par ces motifs, la Chambre des recours civile du Tribunal cantonal, en application de l'art. 322 al. 1 CPC, prononce : I. Le recours est rejeté, dans la mesure de sa recevabilité. II. L’arrêt, rendu sans frais, est exécutoire. Le président :               La greffière : Du L'arrêt qui précède, approuvé à huis clos, est notifié par l'envoi de photocopies, à : ‑ Mme W.________, personnellement, - Mme [...], curatrice.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P.________, juge de paix du district de [...]. La greffière :</w:t>
      </w:r>
    </w:p>
    <w:p>
      <w:r>
        <w:rPr>
          <w:b/>
        </w:rPr>
        <w:t>E. 6</w:t>
      </w:r>
    </w:p>
    <w:p>
      <w:r>
        <w:t>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 ATF 140 Ill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la 157 consid. 6a ; TF 5A_316/2012 du 17 octobre 2012 consid. 6.2.1 ; TF 5A_249/2015 du 29 septembre 2015 consid. 4.1). En matière civile, les magistrats et fonctionnaires judiciaires doivent se récuser lorsqu'ils pourraient être prévenus, notamment en raison d'un rapport d'amitié ou d'inimitié avec une partie ou son représentant (art. 47 al. 1 let. f CPC). La partie qui entend obtenir la récusation d'un magistrat ou d'un fonctionnaire judiciaire doit la demander au tribunal aussitôt qu'elle a eu connaissance du motif de récusation et rendre vraisemblables les faits qui motivent sa demande (art. 49 al. 1 CPC). Des décisions ou des actes de procédure viciés, voire arbitraires, ne fondent pas en soi une apparence objective de prévention. En effet, de par son activité, le juge est contraint de se prononcer sur des questions contestées et délicates ; même si elles se révèlent ensuite erronées, des mesures inhérentes à l'exercice normal de sa charge ne permettent pas encore de le suspecter de parti pris ; en décider autrement reviendrait à affirmer que tout jugement inexact,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(ATF 125 I 119 consid. 3e ; ATF 138 IV 142 consid. 2.3, avec les arrêts cités ; TF 5A_316/2012 du 17 octobre 2012 consid. 6.2.1 ; TF 5A_910/2013 du 6 mars 2014 consid. 5.1 ; TF 5A_249/2015 du 29 septembre 2015 consid. 4.1). C'est aux juridictions de recours normalement compétentes qu'il appartient de constater et de redresser les erreurs éventuellement commises ; le juge de la récusation ne saurait donc examiner la conduite du procès à la façon d'une instance d'appel (ATF 116 la 135 consid. 3a ; TF 5A_579/2012 du 10 septembre 2012 consid. 2.1 ; TF 5A_286/2013 du 12 juin 2013 consid. 2.1 ; TF 5A_749/2015 du 27 novembre 2015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